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FD" w:rsidRPr="00F0040F" w:rsidRDefault="00B60AFD" w:rsidP="00B60AFD">
      <w:pPr>
        <w:pStyle w:val="2"/>
        <w:spacing w:before="0" w:beforeAutospacing="0" w:after="0" w:afterAutospacing="0"/>
        <w:jc w:val="center"/>
        <w:rPr>
          <w:color w:val="auto"/>
          <w:sz w:val="28"/>
          <w:szCs w:val="28"/>
        </w:rPr>
      </w:pPr>
      <w:r w:rsidRPr="00F0040F">
        <w:rPr>
          <w:color w:val="auto"/>
          <w:sz w:val="28"/>
          <w:szCs w:val="28"/>
        </w:rPr>
        <w:t>ЭКСПЕРТНОЕ ЗАКЛЮЧЕНИЕ</w:t>
      </w:r>
    </w:p>
    <w:p w:rsidR="00B60AFD" w:rsidRPr="00F0040F" w:rsidRDefault="00B60AFD" w:rsidP="00B60AFD">
      <w:pPr>
        <w:pStyle w:val="2"/>
        <w:spacing w:before="0" w:beforeAutospacing="0" w:after="0" w:afterAutospacing="0"/>
        <w:jc w:val="center"/>
        <w:rPr>
          <w:color w:val="auto"/>
          <w:sz w:val="28"/>
          <w:szCs w:val="28"/>
        </w:rPr>
      </w:pPr>
      <w:r w:rsidRPr="00F0040F">
        <w:rPr>
          <w:color w:val="auto"/>
          <w:sz w:val="28"/>
          <w:szCs w:val="28"/>
        </w:rPr>
        <w:t xml:space="preserve"> по результатам внешней проверки отчёта об исполнении бюджета </w:t>
      </w:r>
      <w:proofErr w:type="spellStart"/>
      <w:r w:rsidRPr="00F0040F">
        <w:rPr>
          <w:color w:val="auto"/>
          <w:sz w:val="28"/>
          <w:szCs w:val="28"/>
        </w:rPr>
        <w:t>Каскатского</w:t>
      </w:r>
      <w:proofErr w:type="spellEnd"/>
      <w:r w:rsidRPr="00F0040F">
        <w:rPr>
          <w:color w:val="auto"/>
          <w:sz w:val="28"/>
          <w:szCs w:val="28"/>
        </w:rPr>
        <w:t xml:space="preserve"> сельского поселения </w:t>
      </w:r>
      <w:proofErr w:type="spellStart"/>
      <w:r w:rsidRPr="00F0040F">
        <w:rPr>
          <w:color w:val="auto"/>
          <w:sz w:val="28"/>
          <w:szCs w:val="28"/>
        </w:rPr>
        <w:t>Исилькульского</w:t>
      </w:r>
      <w:proofErr w:type="spellEnd"/>
      <w:r w:rsidRPr="00F0040F">
        <w:rPr>
          <w:color w:val="auto"/>
          <w:sz w:val="28"/>
          <w:szCs w:val="28"/>
        </w:rPr>
        <w:t xml:space="preserve"> муниципального района Омской области за 2023 год. </w:t>
      </w:r>
    </w:p>
    <w:p w:rsidR="00B60AFD" w:rsidRDefault="00A54EB8" w:rsidP="00B60AFD">
      <w:pPr>
        <w:spacing w:after="200" w:line="276" w:lineRule="auto"/>
        <w:contextualSpacing/>
        <w:jc w:val="right"/>
        <w:rPr>
          <w:rFonts w:eastAsia="Calibri"/>
          <w:lang w:eastAsia="en-US"/>
        </w:rPr>
      </w:pPr>
      <w:r>
        <w:rPr>
          <w:rFonts w:eastAsia="Calibri"/>
          <w:lang w:eastAsia="en-US"/>
        </w:rPr>
        <w:t>25 марта</w:t>
      </w:r>
      <w:r w:rsidR="00B60AFD">
        <w:rPr>
          <w:rFonts w:eastAsia="Calibri"/>
          <w:lang w:eastAsia="en-US"/>
        </w:rPr>
        <w:t xml:space="preserve"> </w:t>
      </w:r>
      <w:r w:rsidR="00B60AFD" w:rsidRPr="00DE7D06">
        <w:rPr>
          <w:rFonts w:eastAsia="Calibri"/>
          <w:lang w:eastAsia="en-US"/>
        </w:rPr>
        <w:t>20</w:t>
      </w:r>
      <w:r w:rsidR="00B60AFD">
        <w:rPr>
          <w:rFonts w:eastAsia="Calibri"/>
          <w:lang w:eastAsia="en-US"/>
        </w:rPr>
        <w:t>24</w:t>
      </w:r>
      <w:r w:rsidR="00B60AFD" w:rsidRPr="00DE7D06">
        <w:rPr>
          <w:rFonts w:eastAsia="Calibri"/>
          <w:lang w:eastAsia="en-US"/>
        </w:rPr>
        <w:t xml:space="preserve"> г</w:t>
      </w:r>
    </w:p>
    <w:p w:rsidR="00B60AFD" w:rsidRPr="00D24BED" w:rsidRDefault="00B60AFD" w:rsidP="00B60AFD">
      <w:pPr>
        <w:spacing w:after="200"/>
        <w:contextualSpacing/>
        <w:rPr>
          <w:b/>
        </w:rPr>
      </w:pPr>
      <w:r w:rsidRPr="00D24BED">
        <w:rPr>
          <w:b/>
          <w:iCs/>
        </w:rPr>
        <w:t>Основание для проведения</w:t>
      </w:r>
      <w:r w:rsidRPr="00D24BED">
        <w:rPr>
          <w:i/>
          <w:iCs/>
        </w:rPr>
        <w:t>:</w:t>
      </w:r>
      <w:r w:rsidRPr="00D24BED">
        <w:t xml:space="preserve"> статья 264.4 Бюджетного кодекса Российской Федерации, статья 27 О  Положении «О бюджетном процессе в </w:t>
      </w:r>
      <w:proofErr w:type="spellStart"/>
      <w:r w:rsidRPr="00D24BED">
        <w:t>Каскатском</w:t>
      </w:r>
      <w:proofErr w:type="spellEnd"/>
      <w:r w:rsidRPr="00D24BED">
        <w:t xml:space="preserve"> сельском поселении </w:t>
      </w:r>
      <w:proofErr w:type="spellStart"/>
      <w:r w:rsidRPr="00D24BED">
        <w:t>Исилькульского</w:t>
      </w:r>
      <w:proofErr w:type="spellEnd"/>
      <w:r w:rsidRPr="00D24BED">
        <w:t xml:space="preserve"> муниципального района  Омской области», утвержденного решением Совета депутатов </w:t>
      </w:r>
      <w:proofErr w:type="spellStart"/>
      <w:r w:rsidRPr="00D24BED">
        <w:t>Каскатского</w:t>
      </w:r>
      <w:proofErr w:type="spellEnd"/>
      <w:r w:rsidRPr="00D24BED">
        <w:t xml:space="preserve"> сельского поселения от 26.09.2013 № 59 (дале</w:t>
      </w:r>
      <w:proofErr w:type="gramStart"/>
      <w:r w:rsidRPr="00D24BED">
        <w:t>е-</w:t>
      </w:r>
      <w:proofErr w:type="gramEnd"/>
      <w:r w:rsidRPr="00D24BED">
        <w:t xml:space="preserve"> Положение о бюджетном процессе)</w:t>
      </w:r>
    </w:p>
    <w:p w:rsidR="00B60AFD" w:rsidRPr="00D24BED" w:rsidRDefault="00B60AFD" w:rsidP="00B60AFD">
      <w:pPr>
        <w:autoSpaceDE w:val="0"/>
        <w:autoSpaceDN w:val="0"/>
        <w:adjustRightInd w:val="0"/>
        <w:rPr>
          <w:bCs/>
          <w:iCs/>
        </w:rPr>
      </w:pPr>
      <w:r w:rsidRPr="00D24BED">
        <w:rPr>
          <w:b/>
          <w:bCs/>
          <w:iCs/>
        </w:rPr>
        <w:t>Цель проведения внешней проверки</w:t>
      </w:r>
      <w:r w:rsidRPr="00D24BED">
        <w:rPr>
          <w:b/>
          <w:bCs/>
          <w:i/>
          <w:iCs/>
        </w:rPr>
        <w:t>: -</w:t>
      </w:r>
      <w:r w:rsidRPr="00D24BED">
        <w:rPr>
          <w:bCs/>
          <w:iCs/>
        </w:rPr>
        <w:t xml:space="preserve">    </w:t>
      </w:r>
      <w:r w:rsidRPr="00D24BED">
        <w:t>подтверждение достоверности годового отчета об исполнении бюджета поселения за отчетный финансовый год;</w:t>
      </w:r>
    </w:p>
    <w:p w:rsidR="00B60AFD" w:rsidRPr="00D24BED" w:rsidRDefault="00B60AFD" w:rsidP="00B60AFD">
      <w:pPr>
        <w:autoSpaceDE w:val="0"/>
        <w:autoSpaceDN w:val="0"/>
        <w:adjustRightInd w:val="0"/>
        <w:jc w:val="both"/>
      </w:pPr>
      <w:r w:rsidRPr="00D24BED">
        <w:t xml:space="preserve">- соответствие перечня представленных в составе отчета об исполнении бюджета </w:t>
      </w:r>
      <w:proofErr w:type="spellStart"/>
      <w:r w:rsidRPr="00D24BED">
        <w:t>Каскатского</w:t>
      </w:r>
      <w:proofErr w:type="spellEnd"/>
      <w:r w:rsidRPr="00D24BED">
        <w:t xml:space="preserve"> сельского поселения </w:t>
      </w:r>
      <w:proofErr w:type="spellStart"/>
      <w:r w:rsidRPr="00D24BED">
        <w:t>Исилькульского</w:t>
      </w:r>
      <w:proofErr w:type="spellEnd"/>
      <w:r w:rsidRPr="00D24BED">
        <w:t xml:space="preserve"> МР за 2023 год документов согласно требованиям, п.3. ст.264. БК РФ;</w:t>
      </w:r>
    </w:p>
    <w:p w:rsidR="00B60AFD" w:rsidRPr="00D24BED" w:rsidRDefault="00B60AFD" w:rsidP="00B60AFD">
      <w:pPr>
        <w:autoSpaceDE w:val="0"/>
        <w:autoSpaceDN w:val="0"/>
        <w:adjustRightInd w:val="0"/>
        <w:jc w:val="both"/>
      </w:pPr>
      <w:r w:rsidRPr="00D24BED">
        <w:t>- соответствие сведений, отраженных в отчете за 2023 год по фактическому поступлению израсходованию средств местного бюджета, в том числе по источникам финансирования дефицита за отчетный год;</w:t>
      </w:r>
    </w:p>
    <w:p w:rsidR="00B60AFD" w:rsidRPr="00D24BED" w:rsidRDefault="00B60AFD" w:rsidP="00B60AFD">
      <w:pPr>
        <w:autoSpaceDE w:val="0"/>
        <w:autoSpaceDN w:val="0"/>
        <w:adjustRightInd w:val="0"/>
      </w:pPr>
      <w:r w:rsidRPr="00D24BED">
        <w:t>- проверка соблюдения бюджетного законодательства при исполнении бюджета поселения за отчетный финансовый год</w:t>
      </w:r>
      <w:proofErr w:type="gramStart"/>
      <w:r w:rsidRPr="00D24BED">
        <w:t>.</w:t>
      </w:r>
      <w:proofErr w:type="gramEnd"/>
      <w:r w:rsidRPr="00D24BED">
        <w:br/>
        <w:t xml:space="preserve">- </w:t>
      </w:r>
      <w:proofErr w:type="gramStart"/>
      <w:r w:rsidRPr="00D24BED">
        <w:t>и</w:t>
      </w:r>
      <w:proofErr w:type="gramEnd"/>
      <w:r w:rsidRPr="00D24BED">
        <w:t xml:space="preserve">сполнение бюджетных назначений и использование в 2023 году средств местного бюджета, </w:t>
      </w:r>
    </w:p>
    <w:p w:rsidR="00B60AFD" w:rsidRPr="00D24BED" w:rsidRDefault="00B60AFD" w:rsidP="00B60AFD">
      <w:pPr>
        <w:jc w:val="both"/>
      </w:pPr>
      <w:r w:rsidRPr="00D24BED">
        <w:t xml:space="preserve">- достоверность бюджетной отчетности главных администраторов средств местного бюджета </w:t>
      </w:r>
    </w:p>
    <w:p w:rsidR="00B60AFD" w:rsidRPr="00D24BED" w:rsidRDefault="00B60AFD" w:rsidP="00B60AFD">
      <w:pPr>
        <w:autoSpaceDE w:val="0"/>
        <w:autoSpaceDN w:val="0"/>
        <w:adjustRightInd w:val="0"/>
      </w:pPr>
      <w:r w:rsidRPr="00D24BED">
        <w:rPr>
          <w:b/>
          <w:bCs/>
          <w:iCs/>
        </w:rPr>
        <w:t>Предмет проверки</w:t>
      </w:r>
      <w:r w:rsidRPr="00D24BED">
        <w:rPr>
          <w:b/>
          <w:bCs/>
          <w:i/>
          <w:iCs/>
        </w:rPr>
        <w:t>:</w:t>
      </w:r>
      <w:r w:rsidRPr="00D24BED">
        <w:t xml:space="preserve"> - годовой отчет об исполнении местного бюджета за 2023 год с приложениями;</w:t>
      </w:r>
    </w:p>
    <w:p w:rsidR="00B60AFD" w:rsidRPr="00D24BED" w:rsidRDefault="00B60AFD" w:rsidP="00B60AFD">
      <w:pPr>
        <w:autoSpaceDE w:val="0"/>
        <w:autoSpaceDN w:val="0"/>
        <w:adjustRightInd w:val="0"/>
      </w:pPr>
      <w:r w:rsidRPr="00D24BED">
        <w:t>- пояснительная записка к годовому отчету.</w:t>
      </w:r>
    </w:p>
    <w:p w:rsidR="00B60AFD" w:rsidRPr="00D24BED" w:rsidRDefault="00B60AFD" w:rsidP="00B60AFD">
      <w:pPr>
        <w:jc w:val="both"/>
      </w:pPr>
      <w:r w:rsidRPr="00D24BED">
        <w:t xml:space="preserve">               </w:t>
      </w:r>
      <w:r w:rsidRPr="00D24BED">
        <w:rPr>
          <w:b/>
          <w:bCs/>
          <w:iCs/>
        </w:rPr>
        <w:t>Проверяемый период</w:t>
      </w:r>
      <w:r w:rsidRPr="00D24BED">
        <w:rPr>
          <w:b/>
          <w:bCs/>
          <w:i/>
          <w:iCs/>
        </w:rPr>
        <w:t xml:space="preserve">: </w:t>
      </w:r>
      <w:r w:rsidRPr="00D24BED">
        <w:t>2023 год.</w:t>
      </w:r>
    </w:p>
    <w:p w:rsidR="00B60AFD" w:rsidRPr="00D24BED" w:rsidRDefault="00B60AFD" w:rsidP="00B60AFD">
      <w:pPr>
        <w:autoSpaceDE w:val="0"/>
        <w:autoSpaceDN w:val="0"/>
        <w:adjustRightInd w:val="0"/>
        <w:jc w:val="center"/>
        <w:rPr>
          <w:b/>
          <w:bCs/>
          <w:u w:val="single"/>
        </w:rPr>
      </w:pPr>
      <w:r w:rsidRPr="00D24BED">
        <w:rPr>
          <w:b/>
          <w:bCs/>
          <w:u w:val="single"/>
        </w:rPr>
        <w:t>Внешняя проверка годового отчета об исполнении бюджета</w:t>
      </w:r>
    </w:p>
    <w:p w:rsidR="00B60AFD" w:rsidRPr="00D24BED" w:rsidRDefault="00B60AFD" w:rsidP="00B60AFD">
      <w:pPr>
        <w:autoSpaceDE w:val="0"/>
        <w:autoSpaceDN w:val="0"/>
        <w:adjustRightInd w:val="0"/>
        <w:jc w:val="center"/>
        <w:rPr>
          <w:b/>
          <w:bCs/>
          <w:u w:val="single"/>
        </w:rPr>
      </w:pPr>
      <w:proofErr w:type="spellStart"/>
      <w:r w:rsidRPr="00D24BED">
        <w:rPr>
          <w:b/>
          <w:bCs/>
          <w:u w:val="single"/>
        </w:rPr>
        <w:t>Каскатского</w:t>
      </w:r>
      <w:proofErr w:type="spellEnd"/>
      <w:r w:rsidRPr="00D24BED">
        <w:rPr>
          <w:b/>
          <w:bCs/>
          <w:u w:val="single"/>
        </w:rPr>
        <w:t xml:space="preserve"> сельского поселения </w:t>
      </w:r>
      <w:proofErr w:type="spellStart"/>
      <w:r w:rsidRPr="00D24BED">
        <w:rPr>
          <w:b/>
          <w:bCs/>
          <w:u w:val="single"/>
        </w:rPr>
        <w:t>Исилькульского</w:t>
      </w:r>
      <w:proofErr w:type="spellEnd"/>
      <w:r w:rsidRPr="00D24BED">
        <w:rPr>
          <w:b/>
          <w:bCs/>
          <w:u w:val="single"/>
        </w:rPr>
        <w:t xml:space="preserve"> муниципального района за 2023 год</w:t>
      </w:r>
    </w:p>
    <w:p w:rsidR="00B60AFD" w:rsidRPr="00D24BED" w:rsidRDefault="00B60AFD" w:rsidP="00B60AFD">
      <w:pPr>
        <w:autoSpaceDE w:val="0"/>
        <w:autoSpaceDN w:val="0"/>
        <w:adjustRightInd w:val="0"/>
        <w:jc w:val="both"/>
      </w:pPr>
      <w:r w:rsidRPr="00D24BED">
        <w:t xml:space="preserve">        Оценка достоверности бюджетной отчетности проводилась на выборочной основе и включала в себя изучение и оценку:</w:t>
      </w:r>
    </w:p>
    <w:p w:rsidR="00B60AFD" w:rsidRPr="00D24BED" w:rsidRDefault="00B60AFD" w:rsidP="00B60AFD">
      <w:pPr>
        <w:autoSpaceDE w:val="0"/>
        <w:autoSpaceDN w:val="0"/>
        <w:adjustRightInd w:val="0"/>
        <w:jc w:val="both"/>
      </w:pPr>
      <w:r w:rsidRPr="00D24BED">
        <w:t>- полноты годовой бюджетной отчетности и ее соответствие установленным формам;</w:t>
      </w:r>
    </w:p>
    <w:p w:rsidR="00B60AFD" w:rsidRPr="00D24BED" w:rsidRDefault="00B60AFD" w:rsidP="00B60AFD">
      <w:pPr>
        <w:autoSpaceDE w:val="0"/>
        <w:autoSpaceDN w:val="0"/>
        <w:adjustRightInd w:val="0"/>
        <w:jc w:val="both"/>
      </w:pPr>
      <w:r w:rsidRPr="00D24BED">
        <w:t>- форм бюджетной отчетности, в части соблюдения требований составления отчетности и контрольных соотношений между формами отчетности;</w:t>
      </w:r>
    </w:p>
    <w:p w:rsidR="00B60AFD" w:rsidRPr="00D24BED" w:rsidRDefault="00B60AFD" w:rsidP="00B60AFD">
      <w:pPr>
        <w:autoSpaceDE w:val="0"/>
        <w:autoSpaceDN w:val="0"/>
        <w:adjustRightInd w:val="0"/>
      </w:pPr>
      <w:r w:rsidRPr="00D24BED">
        <w:t>- проверки соответствия отдельных показателей отчетности ГРБС с показателями сводного отчета об исполнении бюджета муниципального района;</w:t>
      </w:r>
    </w:p>
    <w:p w:rsidR="00B60AFD" w:rsidRPr="00D24BED" w:rsidRDefault="00B60AFD" w:rsidP="00B60AFD">
      <w:pPr>
        <w:autoSpaceDE w:val="0"/>
        <w:autoSpaceDN w:val="0"/>
        <w:adjustRightInd w:val="0"/>
      </w:pPr>
      <w:r w:rsidRPr="00D24BED">
        <w:t>- проверки достоверности данных, отраженных в представленной к проверке отчетности, путем пересчета отдельных данных исходя из суммирования согласованных показателей;</w:t>
      </w:r>
    </w:p>
    <w:p w:rsidR="00B60AFD" w:rsidRPr="00D24BED" w:rsidRDefault="00B60AFD" w:rsidP="00B60AFD">
      <w:pPr>
        <w:autoSpaceDE w:val="0"/>
        <w:autoSpaceDN w:val="0"/>
        <w:adjustRightInd w:val="0"/>
      </w:pPr>
      <w:r w:rsidRPr="00D24BED">
        <w:t>- соблюдение требований Приказа Минфина РФ от 28.12.2010г. № 191н (ред. от 16.11.2016)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части полноты объема форм годовой отчетности;</w:t>
      </w:r>
    </w:p>
    <w:p w:rsidR="00B60AFD" w:rsidRPr="00D24BED" w:rsidRDefault="00B60AFD" w:rsidP="00B60AFD">
      <w:pPr>
        <w:autoSpaceDE w:val="0"/>
        <w:autoSpaceDN w:val="0"/>
        <w:adjustRightInd w:val="0"/>
        <w:jc w:val="both"/>
      </w:pPr>
      <w:r w:rsidRPr="00D24BED">
        <w:t>- правильности заполнения и своевременности представления.</w:t>
      </w:r>
    </w:p>
    <w:p w:rsidR="00B60AFD" w:rsidRPr="00D24BED" w:rsidRDefault="00B60AFD" w:rsidP="00B60AFD">
      <w:pPr>
        <w:pStyle w:val="s1"/>
        <w:shd w:val="clear" w:color="auto" w:fill="FFFFFF"/>
        <w:spacing w:before="0" w:beforeAutospacing="0" w:after="0" w:afterAutospacing="0"/>
        <w:jc w:val="both"/>
      </w:pPr>
      <w:r w:rsidRPr="00D24BED">
        <w:t xml:space="preserve">       Годовая бюджетная, бухгалтерская отчетность за 2023 год сформирована в соответствии с п.3 ст.264.1. БК  Состав бюджетной отчетности устанавливается в соответствии с бюджетным законодательством Российской Федерации (</w:t>
      </w:r>
      <w:hyperlink r:id="rId7" w:anchor="/document/70103036/entry/1404" w:history="1">
        <w:r w:rsidRPr="00D24BED">
          <w:rPr>
            <w:rStyle w:val="ae"/>
            <w:color w:val="auto"/>
          </w:rPr>
          <w:t>ч. 4 ст. 14</w:t>
        </w:r>
      </w:hyperlink>
      <w:r w:rsidRPr="00D24BED">
        <w:t> Федерального закона от 06.12.2011 N 402-ФЗ "О бухгалтерском учете").</w:t>
      </w:r>
    </w:p>
    <w:p w:rsidR="00B60AFD" w:rsidRPr="00D24BED" w:rsidRDefault="00B60AFD" w:rsidP="00B60AFD">
      <w:pPr>
        <w:pStyle w:val="s1"/>
        <w:shd w:val="clear" w:color="auto" w:fill="FFFFFF"/>
        <w:spacing w:before="0" w:beforeAutospacing="0" w:after="0" w:afterAutospacing="0"/>
        <w:jc w:val="both"/>
      </w:pPr>
      <w:r w:rsidRPr="00D24BED">
        <w:t>Согласно </w:t>
      </w:r>
      <w:hyperlink r:id="rId8" w:anchor="/document/12112604/entry/264013" w:history="1">
        <w:r w:rsidRPr="00D24BED">
          <w:rPr>
            <w:rStyle w:val="ae"/>
            <w:color w:val="auto"/>
          </w:rPr>
          <w:t>п. 3 ст. 264.1</w:t>
        </w:r>
      </w:hyperlink>
      <w:r w:rsidRPr="00D24BED">
        <w:t xml:space="preserve"> БК РФ бюджетная отчетность включает </w:t>
      </w:r>
    </w:p>
    <w:p w:rsidR="00B60AFD" w:rsidRPr="00D24BED" w:rsidRDefault="00B60AFD" w:rsidP="00B60AFD">
      <w:pPr>
        <w:shd w:val="clear" w:color="auto" w:fill="FFFFFF"/>
        <w:tabs>
          <w:tab w:val="left" w:pos="9497"/>
        </w:tabs>
        <w:spacing w:after="120"/>
        <w:jc w:val="both"/>
      </w:pPr>
      <w:r w:rsidRPr="00D24BED">
        <w:t xml:space="preserve"> следующие формы отчетов:</w:t>
      </w:r>
    </w:p>
    <w:p w:rsidR="00B60AFD" w:rsidRPr="00D24BED" w:rsidRDefault="00B60AFD" w:rsidP="00B60AFD">
      <w:pPr>
        <w:shd w:val="clear" w:color="auto" w:fill="FFFFFF"/>
        <w:tabs>
          <w:tab w:val="left" w:pos="9497"/>
        </w:tabs>
        <w:spacing w:after="120"/>
        <w:jc w:val="both"/>
      </w:pPr>
      <w:r w:rsidRPr="00D24BED">
        <w:t>- справка по заключению счетов бюджетного учета отчетного финансового года (ф.0503110);</w:t>
      </w:r>
    </w:p>
    <w:p w:rsidR="00B60AFD" w:rsidRPr="00D24BED" w:rsidRDefault="00B60AFD" w:rsidP="00B60AFD">
      <w:pPr>
        <w:autoSpaceDE w:val="0"/>
        <w:autoSpaceDN w:val="0"/>
        <w:adjustRightInd w:val="0"/>
      </w:pPr>
      <w:r w:rsidRPr="00D24BED">
        <w:t>- отчет об исполнении бюджета (ф.0503117);</w:t>
      </w:r>
    </w:p>
    <w:p w:rsidR="00B60AFD" w:rsidRPr="00D24BED" w:rsidRDefault="00B60AFD" w:rsidP="00B60AFD">
      <w:pPr>
        <w:autoSpaceDE w:val="0"/>
        <w:autoSpaceDN w:val="0"/>
        <w:adjustRightInd w:val="0"/>
      </w:pPr>
      <w:r w:rsidRPr="00D24BED">
        <w:t>- баланс исполнения бюджета (ф.0503120);</w:t>
      </w:r>
    </w:p>
    <w:p w:rsidR="00B60AFD" w:rsidRPr="00D24BED" w:rsidRDefault="00B60AFD" w:rsidP="00B60AFD">
      <w:pPr>
        <w:autoSpaceDE w:val="0"/>
        <w:autoSpaceDN w:val="0"/>
        <w:adjustRightInd w:val="0"/>
      </w:pPr>
      <w:r w:rsidRPr="00D24BED">
        <w:t>- отчет о финансовых результатах деятельности (ф.0503121);</w:t>
      </w:r>
    </w:p>
    <w:p w:rsidR="00B60AFD" w:rsidRPr="00D24BED" w:rsidRDefault="00B60AFD" w:rsidP="00B60AFD">
      <w:pPr>
        <w:autoSpaceDE w:val="0"/>
        <w:autoSpaceDN w:val="0"/>
        <w:adjustRightInd w:val="0"/>
      </w:pPr>
      <w:r w:rsidRPr="00D24BED">
        <w:lastRenderedPageBreak/>
        <w:t>- отчет о движении денежных средств (ф.0503123);</w:t>
      </w:r>
    </w:p>
    <w:p w:rsidR="00B60AFD" w:rsidRPr="00D24BED" w:rsidRDefault="00B60AFD" w:rsidP="00B60AFD">
      <w:pPr>
        <w:autoSpaceDE w:val="0"/>
        <w:autoSpaceDN w:val="0"/>
        <w:adjustRightInd w:val="0"/>
      </w:pPr>
      <w:r w:rsidRPr="00D24BED">
        <w:t>- справка по расчетам (ф.0503125);</w:t>
      </w:r>
    </w:p>
    <w:p w:rsidR="00B60AFD" w:rsidRPr="00D24BED" w:rsidRDefault="00B60AFD" w:rsidP="00B60AFD">
      <w:pPr>
        <w:autoSpaceDE w:val="0"/>
        <w:autoSpaceDN w:val="0"/>
        <w:adjustRightInd w:val="0"/>
      </w:pPr>
      <w:r w:rsidRPr="00D24BED">
        <w:t xml:space="preserve">- отчет о бюджетных обязательствах (ф.0503128); </w:t>
      </w:r>
    </w:p>
    <w:p w:rsidR="00B60AFD" w:rsidRPr="00D24BED" w:rsidRDefault="00B60AFD" w:rsidP="00B60AFD">
      <w:pPr>
        <w:autoSpaceDE w:val="0"/>
        <w:autoSpaceDN w:val="0"/>
        <w:adjustRightInd w:val="0"/>
      </w:pPr>
      <w:r w:rsidRPr="00D24BED">
        <w:t>- пояснительная записка (ф.0503160).</w:t>
      </w:r>
    </w:p>
    <w:p w:rsidR="00B60AFD" w:rsidRPr="00D24BED" w:rsidRDefault="00B60AFD" w:rsidP="00B60AFD">
      <w:pPr>
        <w:autoSpaceDE w:val="0"/>
        <w:autoSpaceDN w:val="0"/>
        <w:adjustRightInd w:val="0"/>
      </w:pPr>
      <w:r w:rsidRPr="00D24BED">
        <w:t xml:space="preserve">    Отчет об исполнении бюджета (ф.0503117) содержит данные об исполнении бюджета</w:t>
      </w:r>
    </w:p>
    <w:p w:rsidR="00B60AFD" w:rsidRPr="00D24BED" w:rsidRDefault="00B60AFD" w:rsidP="00B60AFD">
      <w:pPr>
        <w:autoSpaceDE w:val="0"/>
        <w:autoSpaceDN w:val="0"/>
        <w:adjustRightInd w:val="0"/>
        <w:jc w:val="both"/>
      </w:pPr>
      <w:r w:rsidRPr="00D24BED">
        <w:t>по доходам, расходам и источникам финансирования дефицита бюджета в соответствии с бюджетной классификацией Российской Федерации.</w:t>
      </w:r>
    </w:p>
    <w:p w:rsidR="00B60AFD" w:rsidRPr="00D24BED" w:rsidRDefault="00B60AFD" w:rsidP="00B60AFD">
      <w:pPr>
        <w:autoSpaceDE w:val="0"/>
        <w:autoSpaceDN w:val="0"/>
        <w:adjustRightInd w:val="0"/>
        <w:jc w:val="both"/>
      </w:pPr>
      <w:r w:rsidRPr="00D24BED">
        <w:t xml:space="preserve">   Баланс исполнения бюджета (ф.0503120) содержит данные о нефинансовых и финансовых активах на начало и на конец отчетного периода по счетам плана счетов бюджетного учета.</w:t>
      </w:r>
    </w:p>
    <w:p w:rsidR="00B60AFD" w:rsidRPr="00D24BED" w:rsidRDefault="00B60AFD" w:rsidP="00B60AFD">
      <w:pPr>
        <w:autoSpaceDE w:val="0"/>
        <w:autoSpaceDN w:val="0"/>
        <w:adjustRightInd w:val="0"/>
        <w:jc w:val="both"/>
      </w:pPr>
      <w:r w:rsidRPr="00D24BED">
        <w:t xml:space="preserve">   Отчет о финансовых результатах деятельности (ф.0503121) содержит данные о финансовом результате деятельности в отчетном периоде и составляется по кодам бюджетной классификации.</w:t>
      </w:r>
    </w:p>
    <w:p w:rsidR="00B60AFD" w:rsidRPr="00D24BED" w:rsidRDefault="00B60AFD" w:rsidP="00B60AFD">
      <w:pPr>
        <w:autoSpaceDE w:val="0"/>
        <w:autoSpaceDN w:val="0"/>
        <w:adjustRightInd w:val="0"/>
        <w:jc w:val="both"/>
      </w:pPr>
      <w:r w:rsidRPr="00D24BED">
        <w:t xml:space="preserve">   Отчет о движении денежных средств (ф.0503123) отражает операции по счетам бюджетов.</w:t>
      </w:r>
    </w:p>
    <w:p w:rsidR="00B60AFD" w:rsidRPr="00D24BED" w:rsidRDefault="00B60AFD" w:rsidP="00B60AFD">
      <w:pPr>
        <w:autoSpaceDE w:val="0"/>
        <w:autoSpaceDN w:val="0"/>
        <w:adjustRightInd w:val="0"/>
        <w:jc w:val="both"/>
      </w:pPr>
      <w:r w:rsidRPr="00D24BED">
        <w:t xml:space="preserve">   Сведения о вложениях в объекты недвижимого имущества, объектах незавершенного строительства (ф.0503190) в сведениях раскрывается информация об имеющихся на отчетную дату объектах незавершенного строительства, а также о сформированных на отчетную дату вложениях в объекты недвижимого имущества, источником финансового обеспечения которых являлись средства соответствующих бюджетов бюджетной системы Российской Федерации.</w:t>
      </w:r>
    </w:p>
    <w:p w:rsidR="00B60AFD" w:rsidRPr="00D24BED" w:rsidRDefault="00B60AFD" w:rsidP="00B60AFD">
      <w:pPr>
        <w:pStyle w:val="s1"/>
        <w:shd w:val="clear" w:color="auto" w:fill="FFFFFF"/>
        <w:spacing w:before="0" w:beforeAutospacing="0" w:after="0" w:afterAutospacing="0"/>
        <w:jc w:val="both"/>
      </w:pPr>
      <w:r w:rsidRPr="00D24BED">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anchor="/document/12181732/entry/503130" w:history="1">
        <w:r w:rsidRPr="00D24BED">
          <w:rPr>
            <w:rStyle w:val="ae"/>
            <w:color w:val="auto"/>
          </w:rPr>
          <w:t>ф. 0503130</w:t>
        </w:r>
      </w:hyperlink>
      <w:r w:rsidRPr="00D24BED">
        <w:t>);</w:t>
      </w:r>
    </w:p>
    <w:p w:rsidR="00B60AFD" w:rsidRPr="00D24BED" w:rsidRDefault="00B60AFD" w:rsidP="00B60AFD">
      <w:pPr>
        <w:pStyle w:val="s1"/>
        <w:shd w:val="clear" w:color="auto" w:fill="FFFFFF"/>
        <w:spacing w:before="0" w:beforeAutospacing="0" w:after="0" w:afterAutospacing="0"/>
        <w:jc w:val="both"/>
      </w:pPr>
      <w:r w:rsidRPr="00D24BED">
        <w:t>Справка о суммах консолидируемых поступлений, подлежащих зачислению на счет бюджета (</w:t>
      </w:r>
      <w:hyperlink r:id="rId10" w:anchor="/document/12181732/entry/503184" w:history="1">
        <w:r w:rsidRPr="00D24BED">
          <w:rPr>
            <w:rStyle w:val="ae"/>
            <w:color w:val="auto"/>
          </w:rPr>
          <w:t>ф. 0503184</w:t>
        </w:r>
      </w:hyperlink>
      <w:r w:rsidRPr="00D24BED">
        <w:t>);</w:t>
      </w:r>
    </w:p>
    <w:p w:rsidR="00B60AFD" w:rsidRPr="00D24BED" w:rsidRDefault="00B60AFD" w:rsidP="00B60AFD">
      <w:pPr>
        <w:pStyle w:val="s1"/>
        <w:shd w:val="clear" w:color="auto" w:fill="FFFFFF"/>
        <w:spacing w:before="0" w:beforeAutospacing="0" w:after="0" w:afterAutospacing="0"/>
        <w:jc w:val="both"/>
      </w:pPr>
      <w:r w:rsidRPr="00D24BED">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anchor="/document/12181732/entry/503127" w:history="1">
        <w:r w:rsidRPr="00D24BED">
          <w:rPr>
            <w:rStyle w:val="ae"/>
            <w:color w:val="auto"/>
          </w:rPr>
          <w:t>ф. 0503127</w:t>
        </w:r>
      </w:hyperlink>
      <w:r w:rsidRPr="00D24BED">
        <w:t>);</w:t>
      </w:r>
    </w:p>
    <w:p w:rsidR="00B60AFD" w:rsidRPr="00D24BED" w:rsidRDefault="00B60AFD" w:rsidP="00B60AFD">
      <w:pPr>
        <w:pStyle w:val="s1"/>
        <w:shd w:val="clear" w:color="auto" w:fill="FFFFFF"/>
        <w:spacing w:before="0" w:beforeAutospacing="0" w:after="0" w:afterAutospacing="0"/>
        <w:jc w:val="both"/>
      </w:pPr>
      <w:r w:rsidRPr="00D24BED">
        <w:t xml:space="preserve">    Пояснительная записка (ф.0503160)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средств в отчетном финансовом году.</w:t>
      </w:r>
    </w:p>
    <w:p w:rsidR="00B60AFD" w:rsidRPr="00D24BED" w:rsidRDefault="00B60AFD" w:rsidP="00B60AFD">
      <w:pPr>
        <w:pStyle w:val="ac"/>
        <w:spacing w:before="0" w:beforeAutospacing="0" w:after="0" w:afterAutospacing="0"/>
      </w:pPr>
      <w:r w:rsidRPr="00D24BED">
        <w:t xml:space="preserve">   Годовой отчет за 2023  год составлен в соответствии с Федеральными стандартами</w:t>
      </w:r>
      <w:r w:rsidRPr="00D24BED">
        <w:rPr>
          <w:shd w:val="clear" w:color="auto" w:fill="FFFFFF"/>
        </w:rPr>
        <w:t xml:space="preserve"> «Концептуальные основы </w:t>
      </w:r>
      <w:proofErr w:type="spellStart"/>
      <w:r w:rsidRPr="00D24BED">
        <w:rPr>
          <w:shd w:val="clear" w:color="auto" w:fill="FFFFFF"/>
        </w:rPr>
        <w:t>бух</w:t>
      </w:r>
      <w:proofErr w:type="gramStart"/>
      <w:r w:rsidRPr="00D24BED">
        <w:rPr>
          <w:shd w:val="clear" w:color="auto" w:fill="FFFFFF"/>
        </w:rPr>
        <w:t>.у</w:t>
      </w:r>
      <w:proofErr w:type="gramEnd"/>
      <w:r w:rsidRPr="00D24BED">
        <w:rPr>
          <w:shd w:val="clear" w:color="auto" w:fill="FFFFFF"/>
        </w:rPr>
        <w:t>чета</w:t>
      </w:r>
      <w:proofErr w:type="spellEnd"/>
      <w:r w:rsidRPr="00D24BED">
        <w:rPr>
          <w:shd w:val="clear" w:color="auto" w:fill="FFFFFF"/>
        </w:rPr>
        <w:t xml:space="preserve"> и отчетности для организаций </w:t>
      </w:r>
      <w:proofErr w:type="spellStart"/>
      <w:r w:rsidRPr="00D24BED">
        <w:rPr>
          <w:shd w:val="clear" w:color="auto" w:fill="FFFFFF"/>
        </w:rPr>
        <w:t>гос.сектора</w:t>
      </w:r>
      <w:proofErr w:type="spellEnd"/>
      <w:r w:rsidRPr="00D24BED">
        <w:rPr>
          <w:shd w:val="clear" w:color="auto" w:fill="FFFFFF"/>
        </w:rPr>
        <w:t xml:space="preserve">» (приказ Минфина России от 31.12.2016г. №256Н), «Основные средства»  (приказ Минфина России от 31.12.2016г. №257Н), «Аренда» (приказ Минфина России от 31.12.2016г. №258Н),  «Обесценивание активов»     (приказ Минфина России от 31.12.2016г. №259Н),»Предоставление бух. (финансовой) отчетности» (приказ Минфина </w:t>
      </w:r>
      <w:proofErr w:type="gramStart"/>
      <w:r w:rsidRPr="00D24BED">
        <w:rPr>
          <w:shd w:val="clear" w:color="auto" w:fill="FFFFFF"/>
        </w:rPr>
        <w:t>России от 31.12.2016г. №260Н), «Учетная политика, оценочные значения и ошибки» (приказ Минфина России от 30.12.2017г. №274Н), «»События после отчетной даты» (приказ Минфина России от 30.12.2017г. №275Н), «»Отчет о движении денежных средств» (приказ Минфина России от 30.12.2017г. №278Н), «Доходы» (приказ Минфина России от 27.02.2018г. №32Н), ФСБУ "</w:t>
      </w:r>
      <w:proofErr w:type="spellStart"/>
      <w:r w:rsidRPr="00D24BED">
        <w:rPr>
          <w:shd w:val="clear" w:color="auto" w:fill="FFFFFF"/>
        </w:rPr>
        <w:t>Непроизведенные</w:t>
      </w:r>
      <w:proofErr w:type="spellEnd"/>
      <w:r w:rsidRPr="00D24BED">
        <w:rPr>
          <w:shd w:val="clear" w:color="auto" w:fill="FFFFFF"/>
        </w:rPr>
        <w:t xml:space="preserve"> активы"  (Приказ Минфина РФ </w:t>
      </w:r>
      <w:hyperlink r:id="rId12" w:anchor="l0" w:history="1">
        <w:r w:rsidRPr="00D24BED">
          <w:rPr>
            <w:rStyle w:val="ae"/>
            <w:color w:val="auto"/>
            <w:shd w:val="clear" w:color="auto" w:fill="FFFFFF"/>
          </w:rPr>
          <w:t>от 28.02.2018 N 34н),</w:t>
        </w:r>
      </w:hyperlink>
      <w:hyperlink r:id="rId13" w:anchor="l0" w:history="1">
        <w:r w:rsidRPr="00D24BED">
          <w:rPr>
            <w:rStyle w:val="ae"/>
            <w:color w:val="auto"/>
            <w:shd w:val="clear" w:color="auto" w:fill="FFFFFF"/>
          </w:rPr>
          <w:t> ФСБУ</w:t>
        </w:r>
        <w:proofErr w:type="gramEnd"/>
        <w:r w:rsidRPr="00D24BED">
          <w:rPr>
            <w:rStyle w:val="ae"/>
            <w:color w:val="auto"/>
            <w:shd w:val="clear" w:color="auto" w:fill="FFFFFF"/>
          </w:rPr>
          <w:t xml:space="preserve"> "</w:t>
        </w:r>
        <w:proofErr w:type="gramStart"/>
        <w:r w:rsidRPr="00D24BED">
          <w:rPr>
            <w:rStyle w:val="ae"/>
            <w:color w:val="auto"/>
            <w:shd w:val="clear" w:color="auto" w:fill="FFFFFF"/>
          </w:rPr>
          <w:t>Бюджетная информация в бухгалтерской (финансовой) отчетности" </w:t>
        </w:r>
      </w:hyperlink>
      <w:hyperlink r:id="rId14" w:anchor="l0" w:history="1">
        <w:r w:rsidRPr="00D24BED">
          <w:rPr>
            <w:rStyle w:val="ae"/>
            <w:color w:val="auto"/>
            <w:shd w:val="clear" w:color="auto" w:fill="FFFFFF"/>
          </w:rPr>
          <w:t>(Приказ Минфина РФ </w:t>
        </w:r>
      </w:hyperlink>
      <w:hyperlink r:id="rId15" w:anchor="l0" w:history="1">
        <w:r w:rsidRPr="00D24BED">
          <w:rPr>
            <w:rStyle w:val="ae"/>
            <w:color w:val="auto"/>
            <w:shd w:val="clear" w:color="auto" w:fill="FFFFFF"/>
          </w:rPr>
          <w:t>от 28.02.2018 N</w:t>
        </w:r>
        <w:proofErr w:type="gramEnd"/>
        <w:r w:rsidRPr="00D24BED">
          <w:rPr>
            <w:rStyle w:val="ae"/>
            <w:color w:val="auto"/>
            <w:shd w:val="clear" w:color="auto" w:fill="FFFFFF"/>
          </w:rPr>
          <w:t xml:space="preserve"> 37н</w:t>
        </w:r>
      </w:hyperlink>
      <w:r w:rsidRPr="00D24BED">
        <w:rPr>
          <w:shd w:val="clear" w:color="auto" w:fill="FFFFFF"/>
        </w:rPr>
        <w:t>), ФСБУ "Влияние изменений курсов иностранных валют</w:t>
      </w:r>
      <w:proofErr w:type="gramStart"/>
      <w:r w:rsidRPr="00D24BED">
        <w:rPr>
          <w:shd w:val="clear" w:color="auto" w:fill="FFFFFF"/>
        </w:rPr>
        <w:t>"(</w:t>
      </w:r>
      <w:proofErr w:type="gramEnd"/>
      <w:r w:rsidRPr="00D24BED">
        <w:rPr>
          <w:shd w:val="clear" w:color="auto" w:fill="FFFFFF"/>
        </w:rPr>
        <w:t xml:space="preserve"> Приказ Минфина РФ </w:t>
      </w:r>
      <w:hyperlink r:id="rId16" w:anchor="l0" w:history="1">
        <w:r w:rsidRPr="00D24BED">
          <w:rPr>
            <w:rStyle w:val="ae"/>
            <w:color w:val="auto"/>
            <w:shd w:val="clear" w:color="auto" w:fill="FFFFFF"/>
          </w:rPr>
          <w:t>от 30.05.2018 N 122н</w:t>
        </w:r>
      </w:hyperlink>
      <w:r w:rsidRPr="00D24BED">
        <w:rPr>
          <w:shd w:val="clear" w:color="auto" w:fill="FFFFFF"/>
        </w:rPr>
        <w:t>), ФСБУ "Резервы. Раскрытие информации об условных обязательствах и условных активах" (Приказ Минфина РФ </w:t>
      </w:r>
      <w:hyperlink r:id="rId17" w:anchor="l0" w:history="1">
        <w:r w:rsidRPr="00D24BED">
          <w:rPr>
            <w:rStyle w:val="ae"/>
            <w:color w:val="auto"/>
            <w:shd w:val="clear" w:color="auto" w:fill="FFFFFF"/>
          </w:rPr>
          <w:t>от 30.05.2018 N 124н</w:t>
        </w:r>
      </w:hyperlink>
      <w:r w:rsidRPr="00D24BED">
        <w:rPr>
          <w:shd w:val="clear" w:color="auto" w:fill="FFFFFF"/>
        </w:rPr>
        <w:t>), ФСБУ "Долгосрочные договоры</w:t>
      </w:r>
      <w:proofErr w:type="gramStart"/>
      <w:r w:rsidRPr="00D24BED">
        <w:rPr>
          <w:shd w:val="clear" w:color="auto" w:fill="FFFFFF"/>
        </w:rPr>
        <w:t>"(</w:t>
      </w:r>
      <w:proofErr w:type="gramEnd"/>
      <w:r w:rsidRPr="00D24BED">
        <w:rPr>
          <w:shd w:val="clear" w:color="auto" w:fill="FFFFFF"/>
        </w:rPr>
        <w:t xml:space="preserve"> Приказ Минфина РФ </w:t>
      </w:r>
      <w:hyperlink r:id="rId18" w:anchor="l0" w:history="1">
        <w:r w:rsidRPr="00D24BED">
          <w:rPr>
            <w:rStyle w:val="ae"/>
            <w:color w:val="auto"/>
            <w:shd w:val="clear" w:color="auto" w:fill="FFFFFF"/>
          </w:rPr>
          <w:t>от 29.06.2018 N 145н</w:t>
        </w:r>
      </w:hyperlink>
      <w:r w:rsidRPr="00D24BED">
        <w:rPr>
          <w:shd w:val="clear" w:color="auto" w:fill="FFFFFF"/>
        </w:rPr>
        <w:t>), ФСБУ "Концессионные соглашения" (Приказ Минфина РФ </w:t>
      </w:r>
      <w:hyperlink r:id="rId19" w:anchor="l3" w:history="1">
        <w:r w:rsidRPr="00D24BED">
          <w:rPr>
            <w:rStyle w:val="ae"/>
            <w:color w:val="auto"/>
            <w:shd w:val="clear" w:color="auto" w:fill="FFFFFF"/>
          </w:rPr>
          <w:t>от 29.06.2018 N 146н</w:t>
        </w:r>
      </w:hyperlink>
      <w:r w:rsidRPr="00D24BED">
        <w:rPr>
          <w:shd w:val="clear" w:color="auto" w:fill="FFFFFF"/>
        </w:rPr>
        <w:t>), ФСБУ "Запасы" (Приказ Минфина РФ </w:t>
      </w:r>
      <w:hyperlink r:id="rId20" w:anchor="l3" w:history="1">
        <w:r w:rsidRPr="00D24BED">
          <w:rPr>
            <w:rStyle w:val="ae"/>
            <w:color w:val="auto"/>
            <w:shd w:val="clear" w:color="auto" w:fill="FFFFFF"/>
          </w:rPr>
          <w:t>от 07.12.2018 N 256н</w:t>
        </w:r>
      </w:hyperlink>
      <w:r w:rsidRPr="00D24BED">
        <w:rPr>
          <w:shd w:val="clear" w:color="auto" w:fill="FFFFFF"/>
        </w:rPr>
        <w:t>),ФСБУ "Нематериальные активы" (Приказ Минфина РФ </w:t>
      </w:r>
      <w:hyperlink r:id="rId21" w:anchor="l0" w:history="1">
        <w:r w:rsidRPr="00D24BED">
          <w:rPr>
            <w:rStyle w:val="ae"/>
            <w:color w:val="auto"/>
            <w:shd w:val="clear" w:color="auto" w:fill="FFFFFF"/>
          </w:rPr>
          <w:t>от 15.11.2019 N 181н</w:t>
        </w:r>
      </w:hyperlink>
      <w:r w:rsidRPr="00D24BED">
        <w:rPr>
          <w:shd w:val="clear" w:color="auto" w:fill="FFFFFF"/>
        </w:rPr>
        <w:t>), ФСБУ "Затраты по заимствованиям"( Приказ Минфина РФ </w:t>
      </w:r>
      <w:hyperlink r:id="rId22" w:anchor="l0" w:history="1">
        <w:r w:rsidRPr="00D24BED">
          <w:rPr>
            <w:rStyle w:val="ae"/>
            <w:color w:val="auto"/>
            <w:shd w:val="clear" w:color="auto" w:fill="FFFFFF"/>
          </w:rPr>
          <w:t>от 15.11.2019 N 182н</w:t>
        </w:r>
      </w:hyperlink>
      <w:r w:rsidRPr="00D24BED">
        <w:rPr>
          <w:shd w:val="clear" w:color="auto" w:fill="FFFFFF"/>
        </w:rPr>
        <w:t>), ФСБУ "Совместная деятельность" (Приказ Минфина РФ </w:t>
      </w:r>
      <w:hyperlink r:id="rId23" w:anchor="l2" w:history="1">
        <w:r w:rsidRPr="00D24BED">
          <w:rPr>
            <w:rStyle w:val="ae"/>
            <w:color w:val="auto"/>
            <w:shd w:val="clear" w:color="auto" w:fill="FFFFFF"/>
          </w:rPr>
          <w:t>от 15.11.2019 N 183н</w:t>
        </w:r>
      </w:hyperlink>
      <w:r w:rsidRPr="00D24BED">
        <w:rPr>
          <w:shd w:val="clear" w:color="auto" w:fill="FFFFFF"/>
        </w:rPr>
        <w:t>), ФСБУ "Выплаты персоналу</w:t>
      </w:r>
      <w:proofErr w:type="gramStart"/>
      <w:r w:rsidRPr="00D24BED">
        <w:rPr>
          <w:shd w:val="clear" w:color="auto" w:fill="FFFFFF"/>
        </w:rPr>
        <w:t>"(</w:t>
      </w:r>
      <w:proofErr w:type="gramEnd"/>
      <w:r w:rsidRPr="00D24BED">
        <w:rPr>
          <w:shd w:val="clear" w:color="auto" w:fill="FFFFFF"/>
        </w:rPr>
        <w:t xml:space="preserve"> Приказ Минфина РФ </w:t>
      </w:r>
      <w:hyperlink r:id="rId24" w:anchor="l0" w:history="1">
        <w:r w:rsidRPr="00D24BED">
          <w:rPr>
            <w:rStyle w:val="ae"/>
            <w:color w:val="auto"/>
            <w:shd w:val="clear" w:color="auto" w:fill="FFFFFF"/>
          </w:rPr>
          <w:t>от 15.11.2019 N 184н</w:t>
        </w:r>
      </w:hyperlink>
      <w:r w:rsidRPr="00D24BED">
        <w:rPr>
          <w:shd w:val="clear" w:color="auto" w:fill="FFFFFF"/>
        </w:rPr>
        <w:t>), ФСБУ "Отчетность по операциям системы казначейских платежей" (Приказ Минфина РФ </w:t>
      </w:r>
      <w:hyperlink r:id="rId25" w:anchor="l0" w:history="1">
        <w:r w:rsidRPr="00D24BED">
          <w:rPr>
            <w:rStyle w:val="ae"/>
            <w:color w:val="auto"/>
            <w:shd w:val="clear" w:color="auto" w:fill="FFFFFF"/>
          </w:rPr>
          <w:t>от 30.06.2020 N 126н</w:t>
        </w:r>
      </w:hyperlink>
      <w:r w:rsidRPr="00D24BED">
        <w:rPr>
          <w:shd w:val="clear" w:color="auto" w:fill="FFFFFF"/>
        </w:rPr>
        <w:t>), ФСБУ "Финансовые инструменты" (Приказ Минфина РФ </w:t>
      </w:r>
      <w:hyperlink r:id="rId26" w:anchor="l0" w:history="1">
        <w:r w:rsidRPr="00D24BED">
          <w:rPr>
            <w:rStyle w:val="ae"/>
            <w:color w:val="auto"/>
            <w:shd w:val="clear" w:color="auto" w:fill="FFFFFF"/>
          </w:rPr>
          <w:t>от 30.06.2020 N 129н</w:t>
        </w:r>
      </w:hyperlink>
      <w:r w:rsidRPr="00D24BED">
        <w:rPr>
          <w:shd w:val="clear" w:color="auto" w:fill="FFFFFF"/>
        </w:rPr>
        <w:t>), ФСБУ "Предоставление бухгалтерской (финансовой) отчетности" (Приказ Минфина РФ </w:t>
      </w:r>
      <w:hyperlink r:id="rId27" w:anchor="l0" w:history="1">
        <w:r w:rsidRPr="00D24BED">
          <w:rPr>
            <w:rStyle w:val="ae"/>
            <w:color w:val="auto"/>
            <w:shd w:val="clear" w:color="auto" w:fill="FFFFFF"/>
          </w:rPr>
          <w:t xml:space="preserve">от 31.12.2016 </w:t>
        </w:r>
        <w:r w:rsidRPr="00D24BED">
          <w:rPr>
            <w:rStyle w:val="ae"/>
            <w:color w:val="auto"/>
            <w:shd w:val="clear" w:color="auto" w:fill="FFFFFF"/>
          </w:rPr>
          <w:lastRenderedPageBreak/>
          <w:t xml:space="preserve">N </w:t>
        </w:r>
        <w:proofErr w:type="gramStart"/>
        <w:r w:rsidRPr="00D24BED">
          <w:rPr>
            <w:rStyle w:val="ae"/>
            <w:color w:val="auto"/>
            <w:shd w:val="clear" w:color="auto" w:fill="FFFFFF"/>
          </w:rPr>
          <w:t>260н</w:t>
        </w:r>
      </w:hyperlink>
      <w:r w:rsidRPr="00D24BED">
        <w:rPr>
          <w:shd w:val="clear" w:color="auto" w:fill="FFFFFF"/>
        </w:rPr>
        <w:t>),  ФСБУ " Бухгалтерской информация в бухгалтерской (финансовой) отчетности " (Приказ Минфина РФ </w:t>
      </w:r>
      <w:hyperlink r:id="rId28" w:anchor="l0" w:history="1">
        <w:r w:rsidRPr="00D24BED">
          <w:rPr>
            <w:rStyle w:val="ae"/>
            <w:color w:val="auto"/>
            <w:shd w:val="clear" w:color="auto" w:fill="FFFFFF"/>
          </w:rPr>
          <w:t>от 28.02.2018 N 37н</w:t>
        </w:r>
      </w:hyperlink>
      <w:r w:rsidRPr="00D24BED">
        <w:rPr>
          <w:shd w:val="clear" w:color="auto" w:fill="FFFFFF"/>
        </w:rPr>
        <w:t>), ФСБУ " Информация о связанных сторонах» " (Приказ Минфина РФ </w:t>
      </w:r>
      <w:hyperlink r:id="rId29" w:anchor="l0" w:history="1">
        <w:r w:rsidRPr="00D24BED">
          <w:rPr>
            <w:rStyle w:val="ae"/>
            <w:color w:val="auto"/>
            <w:shd w:val="clear" w:color="auto" w:fill="FFFFFF"/>
          </w:rPr>
          <w:t>от 30.12.2017 N 277н</w:t>
        </w:r>
      </w:hyperlink>
      <w:r w:rsidRPr="00D24BED">
        <w:rPr>
          <w:shd w:val="clear" w:color="auto" w:fill="FFFFFF"/>
        </w:rPr>
        <w:t>), ФСБУ "Сведения о показателях бухгалтерской (финансовой) отчетности по сегментам" (Приказ Минфина РФ </w:t>
      </w:r>
      <w:hyperlink r:id="rId30" w:anchor="l0" w:history="1">
        <w:r w:rsidRPr="00D24BED">
          <w:rPr>
            <w:rStyle w:val="ae"/>
            <w:color w:val="auto"/>
            <w:shd w:val="clear" w:color="auto" w:fill="FFFFFF"/>
          </w:rPr>
          <w:t>от 29.09.2020 N 233н</w:t>
        </w:r>
      </w:hyperlink>
      <w:r w:rsidRPr="00D24BED">
        <w:rPr>
          <w:shd w:val="clear" w:color="auto" w:fill="FFFFFF"/>
        </w:rPr>
        <w:t>),  ФСБУ "Метод долевого участия" (Приказ Минфина РФ </w:t>
      </w:r>
      <w:hyperlink r:id="rId31" w:anchor="l0" w:history="1">
        <w:r w:rsidRPr="00D24BED">
          <w:rPr>
            <w:rStyle w:val="ae"/>
            <w:color w:val="auto"/>
            <w:shd w:val="clear" w:color="auto" w:fill="FFFFFF"/>
          </w:rPr>
          <w:t>от 30.10.2020 N 254н</w:t>
        </w:r>
      </w:hyperlink>
      <w:r w:rsidRPr="00D24BED">
        <w:rPr>
          <w:shd w:val="clear" w:color="auto" w:fill="FFFFFF"/>
        </w:rPr>
        <w:t>),  ФСБУ "</w:t>
      </w:r>
      <w:proofErr w:type="spellStart"/>
      <w:r w:rsidRPr="00D24BED">
        <w:rPr>
          <w:shd w:val="clear" w:color="auto" w:fill="FFFFFF"/>
        </w:rPr>
        <w:t>Консолидированая</w:t>
      </w:r>
      <w:proofErr w:type="spellEnd"/>
      <w:r w:rsidRPr="00D24BED">
        <w:rPr>
          <w:shd w:val="clear" w:color="auto" w:fill="FFFFFF"/>
        </w:rPr>
        <w:t xml:space="preserve">  бухгалтерская (финансовая) отчетность" (Приказ</w:t>
      </w:r>
      <w:proofErr w:type="gramEnd"/>
      <w:r w:rsidRPr="00D24BED">
        <w:rPr>
          <w:shd w:val="clear" w:color="auto" w:fill="FFFFFF"/>
        </w:rPr>
        <w:t xml:space="preserve"> </w:t>
      </w:r>
      <w:proofErr w:type="gramStart"/>
      <w:r w:rsidRPr="00D24BED">
        <w:rPr>
          <w:shd w:val="clear" w:color="auto" w:fill="FFFFFF"/>
        </w:rPr>
        <w:t>Минфина РФ </w:t>
      </w:r>
      <w:hyperlink r:id="rId32" w:anchor="l0" w:history="1">
        <w:r w:rsidRPr="00D24BED">
          <w:rPr>
            <w:rStyle w:val="ae"/>
            <w:color w:val="auto"/>
            <w:shd w:val="clear" w:color="auto" w:fill="FFFFFF"/>
          </w:rPr>
          <w:t>от 30.10.2020 N 255н</w:t>
        </w:r>
      </w:hyperlink>
      <w:r w:rsidRPr="00D24BED">
        <w:rPr>
          <w:shd w:val="clear" w:color="auto" w:fill="FFFFFF"/>
        </w:rPr>
        <w:t>),  ФСБУ "Биологические активы" (Приказ Минфина РФ </w:t>
      </w:r>
      <w:hyperlink r:id="rId33" w:anchor="l0" w:history="1">
        <w:r w:rsidRPr="00D24BED">
          <w:rPr>
            <w:rStyle w:val="ae"/>
            <w:color w:val="auto"/>
            <w:shd w:val="clear" w:color="auto" w:fill="FFFFFF"/>
          </w:rPr>
          <w:t>от 16.12.2020 N 310н</w:t>
        </w:r>
      </w:hyperlink>
      <w:r w:rsidRPr="00D24BED">
        <w:rPr>
          <w:shd w:val="clear" w:color="auto" w:fill="FFFFFF"/>
        </w:rPr>
        <w:t>),  ФСБУ "Учет операций казначейских платежей" (Приказ Минфина РФ </w:t>
      </w:r>
      <w:hyperlink r:id="rId34" w:anchor="l0" w:history="1">
        <w:r w:rsidRPr="00D24BED">
          <w:rPr>
            <w:rStyle w:val="ae"/>
            <w:color w:val="auto"/>
            <w:shd w:val="clear" w:color="auto" w:fill="FFFFFF"/>
          </w:rPr>
          <w:t>от 16.12.2020 N 314н</w:t>
        </w:r>
      </w:hyperlink>
      <w:r w:rsidRPr="00D24BED">
        <w:rPr>
          <w:shd w:val="clear" w:color="auto" w:fill="FFFFFF"/>
        </w:rPr>
        <w:t>), ФСБУ "Государственная муниципальная казна" (Приказ Минфина РФ </w:t>
      </w:r>
      <w:hyperlink r:id="rId35" w:anchor="l0" w:history="1">
        <w:r w:rsidRPr="00D24BED">
          <w:rPr>
            <w:rStyle w:val="ae"/>
            <w:color w:val="auto"/>
            <w:shd w:val="clear" w:color="auto" w:fill="FFFFFF"/>
          </w:rPr>
          <w:t>от 15.06.2021 N 84н</w:t>
        </w:r>
      </w:hyperlink>
      <w:r w:rsidRPr="00D24BED">
        <w:rPr>
          <w:shd w:val="clear" w:color="auto" w:fill="FFFFFF"/>
        </w:rPr>
        <w:t>),  ФСБУ "Подходы к формированию бухгалтерской (финансовой) отчетности сектора государственного управления и информации по статистике государственных финансов" (Приказ Минфина РФ </w:t>
      </w:r>
      <w:hyperlink r:id="rId36" w:anchor="l0" w:history="1">
        <w:r w:rsidRPr="00D24BED">
          <w:rPr>
            <w:rStyle w:val="ae"/>
            <w:color w:val="auto"/>
            <w:shd w:val="clear" w:color="auto" w:fill="FFFFFF"/>
          </w:rPr>
          <w:t>от 13.10.2021</w:t>
        </w:r>
        <w:proofErr w:type="gramEnd"/>
        <w:r w:rsidRPr="00D24BED">
          <w:rPr>
            <w:rStyle w:val="ae"/>
            <w:color w:val="auto"/>
            <w:shd w:val="clear" w:color="auto" w:fill="FFFFFF"/>
          </w:rPr>
          <w:t xml:space="preserve"> </w:t>
        </w:r>
        <w:proofErr w:type="gramStart"/>
        <w:r w:rsidRPr="00D24BED">
          <w:rPr>
            <w:rStyle w:val="ae"/>
            <w:color w:val="auto"/>
            <w:shd w:val="clear" w:color="auto" w:fill="FFFFFF"/>
          </w:rPr>
          <w:t>N 152н</w:t>
        </w:r>
      </w:hyperlink>
      <w:r w:rsidRPr="00D24BED">
        <w:rPr>
          <w:shd w:val="clear" w:color="auto" w:fill="FFFFFF"/>
        </w:rPr>
        <w:t>).</w:t>
      </w:r>
      <w:r w:rsidRPr="00D24BED">
        <w:t xml:space="preserve">   </w:t>
      </w:r>
      <w:proofErr w:type="gramEnd"/>
    </w:p>
    <w:p w:rsidR="00B60AFD" w:rsidRPr="00D24BED" w:rsidRDefault="00B60AFD" w:rsidP="00B60AFD">
      <w:pPr>
        <w:pStyle w:val="ac"/>
        <w:spacing w:before="0" w:beforeAutospacing="0" w:after="0" w:afterAutospacing="0"/>
      </w:pPr>
      <w:r w:rsidRPr="00D24BED">
        <w:t xml:space="preserve">   Годовой отчет за 2023 год составлен, нарастающим итогом с начала года в тыс. рублях с точностью до второго десятичного знака после запятой, что соответствует п.9 Инструкции 191н.</w:t>
      </w:r>
    </w:p>
    <w:p w:rsidR="00B60AFD" w:rsidRPr="00D24BED" w:rsidRDefault="00B60AFD" w:rsidP="00B60AFD">
      <w:pPr>
        <w:autoSpaceDE w:val="0"/>
        <w:autoSpaceDN w:val="0"/>
        <w:adjustRightInd w:val="0"/>
        <w:jc w:val="both"/>
      </w:pPr>
      <w:r w:rsidRPr="00D24BED">
        <w:t xml:space="preserve">     Годовой отчет об исполнении бюджета за 2023 год, бюджетная отчетность главных администраторов бюджетных средств, имеющая числовые значения, предоставлена в полном объеме.</w:t>
      </w:r>
    </w:p>
    <w:p w:rsidR="00B60AFD" w:rsidRPr="00D24BED" w:rsidRDefault="00B60AFD" w:rsidP="00B60AFD">
      <w:r w:rsidRPr="00D24BED">
        <w:t xml:space="preserve">     Данные по объему доходов, расходов и источников финансирования дефицита бюджета, представленные в годовом отчете об исполнении местного бюджета </w:t>
      </w:r>
      <w:proofErr w:type="spellStart"/>
      <w:r w:rsidRPr="00D24BED">
        <w:t>Каскатского</w:t>
      </w:r>
      <w:proofErr w:type="spellEnd"/>
      <w:r w:rsidRPr="00D24BED">
        <w:t xml:space="preserve"> сельского поселения </w:t>
      </w:r>
      <w:proofErr w:type="spellStart"/>
      <w:r w:rsidRPr="00D24BED">
        <w:t>Исилькульского</w:t>
      </w:r>
      <w:proofErr w:type="spellEnd"/>
      <w:r w:rsidRPr="00D24BED">
        <w:t xml:space="preserve"> МР, согласуются с данными, отраженными в годовой бюджетной отчетности главных администраторов бюджетных средств, что свидетельствует о достоверности представленного отчета.</w:t>
      </w:r>
    </w:p>
    <w:p w:rsidR="00B60AFD" w:rsidRPr="00D24BED" w:rsidRDefault="00B60AFD" w:rsidP="00B60AFD">
      <w:pPr>
        <w:ind w:firstLine="709"/>
        <w:jc w:val="center"/>
        <w:rPr>
          <w:rFonts w:eastAsia="Calibri"/>
          <w:b/>
          <w:lang w:eastAsia="en-US"/>
        </w:rPr>
      </w:pPr>
      <w:r w:rsidRPr="00D24BED">
        <w:rPr>
          <w:rFonts w:eastAsia="Calibri"/>
          <w:b/>
          <w:lang w:eastAsia="en-US"/>
        </w:rPr>
        <w:t>1.Общие положения</w:t>
      </w:r>
    </w:p>
    <w:p w:rsidR="00B60AFD" w:rsidRPr="002E7419" w:rsidRDefault="00B60AFD" w:rsidP="00B60AFD">
      <w:pPr>
        <w:jc w:val="both"/>
        <w:rPr>
          <w:rFonts w:eastAsia="Calibri"/>
        </w:rPr>
      </w:pPr>
      <w:r w:rsidRPr="00D24BED">
        <w:rPr>
          <w:rFonts w:eastAsia="Calibri"/>
          <w:lang w:eastAsia="en-US"/>
        </w:rPr>
        <w:t xml:space="preserve">         Заключение на годовой отчет об исполнении бюджета </w:t>
      </w:r>
      <w:proofErr w:type="spellStart"/>
      <w:r w:rsidRPr="00D24BED">
        <w:t>Каскатского</w:t>
      </w:r>
      <w:proofErr w:type="spellEnd"/>
      <w:r w:rsidRPr="00D24BED">
        <w:rPr>
          <w:rFonts w:eastAsia="Calibri"/>
          <w:lang w:eastAsia="en-US"/>
        </w:rPr>
        <w:t xml:space="preserve"> сельского поселения за 2023 год в соответствии с требованиями статьи 264.4 Бюджетного Кодекса Российской Федерации. </w:t>
      </w:r>
      <w:r w:rsidRPr="00D24BED">
        <w:t>Заключение подготовлено на основании результатов проверки годовой бюджетной отчетности за 2023 год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анализа основных</w:t>
      </w:r>
      <w:r w:rsidRPr="002E7419">
        <w:rPr>
          <w:color w:val="444444"/>
        </w:rPr>
        <w:t xml:space="preserve"> показателей исполнения бюджета Администрации </w:t>
      </w:r>
      <w:proofErr w:type="spellStart"/>
      <w:r>
        <w:rPr>
          <w:color w:val="333333"/>
        </w:rPr>
        <w:t>Каскат</w:t>
      </w:r>
      <w:r w:rsidRPr="002E7419">
        <w:rPr>
          <w:color w:val="444444"/>
        </w:rPr>
        <w:t>ского</w:t>
      </w:r>
      <w:proofErr w:type="spellEnd"/>
      <w:r w:rsidRPr="002E7419">
        <w:rPr>
          <w:color w:val="444444"/>
        </w:rPr>
        <w:t xml:space="preserve"> сельского поселения</w:t>
      </w:r>
      <w:r>
        <w:rPr>
          <w:color w:val="444444"/>
        </w:rPr>
        <w:t xml:space="preserve"> </w:t>
      </w:r>
      <w:r w:rsidRPr="00764A73">
        <w:rPr>
          <w:color w:val="444444"/>
        </w:rPr>
        <w:t>(Заключение №1</w:t>
      </w:r>
      <w:r>
        <w:rPr>
          <w:color w:val="444444"/>
        </w:rPr>
        <w:t xml:space="preserve"> от </w:t>
      </w:r>
      <w:r w:rsidR="00A54EB8">
        <w:rPr>
          <w:color w:val="444444"/>
        </w:rPr>
        <w:t>25.03</w:t>
      </w:r>
      <w:r w:rsidRPr="00161D22">
        <w:rPr>
          <w:color w:val="444444"/>
        </w:rPr>
        <w:t>.202</w:t>
      </w:r>
      <w:r>
        <w:rPr>
          <w:color w:val="444444"/>
        </w:rPr>
        <w:t>4</w:t>
      </w:r>
      <w:r w:rsidRPr="00161D22">
        <w:rPr>
          <w:color w:val="444444"/>
        </w:rPr>
        <w:t xml:space="preserve"> г</w:t>
      </w:r>
      <w:r w:rsidRPr="00764A73">
        <w:rPr>
          <w:color w:val="444444"/>
        </w:rPr>
        <w:t>).</w:t>
      </w:r>
    </w:p>
    <w:p w:rsidR="00B60AFD" w:rsidRPr="00D24BED" w:rsidRDefault="00B60AFD" w:rsidP="00B60AFD">
      <w:pPr>
        <w:autoSpaceDE w:val="0"/>
        <w:autoSpaceDN w:val="0"/>
        <w:adjustRightInd w:val="0"/>
        <w:ind w:firstLine="540"/>
        <w:jc w:val="both"/>
      </w:pPr>
      <w:proofErr w:type="gramStart"/>
      <w:r w:rsidRPr="00D24BED">
        <w:t>Согласно статьи</w:t>
      </w:r>
      <w:proofErr w:type="gramEnd"/>
      <w:r w:rsidRPr="00D24BED">
        <w:t xml:space="preserve">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60AFD" w:rsidRPr="00D24BED" w:rsidRDefault="00B60AFD" w:rsidP="00B60AFD">
      <w:pPr>
        <w:jc w:val="both"/>
        <w:rPr>
          <w:rFonts w:eastAsia="Calibri"/>
          <w:lang w:eastAsia="en-US"/>
        </w:rPr>
      </w:pPr>
      <w:r w:rsidRPr="00D24BED">
        <w:rPr>
          <w:b/>
          <w:bCs/>
        </w:rPr>
        <w:t> </w:t>
      </w:r>
      <w:r w:rsidRPr="00D24BED">
        <w:rPr>
          <w:rFonts w:eastAsia="Calibri"/>
          <w:lang w:eastAsia="en-US"/>
        </w:rPr>
        <w:t xml:space="preserve">       Годовой отчет об исполнении бюджета </w:t>
      </w:r>
      <w:r w:rsidRPr="00D24BED">
        <w:t xml:space="preserve">  </w:t>
      </w:r>
      <w:proofErr w:type="spellStart"/>
      <w:r w:rsidRPr="00D24BED">
        <w:t>Каскат</w:t>
      </w:r>
      <w:r w:rsidRPr="00D24BED">
        <w:rPr>
          <w:rFonts w:eastAsia="Calibri"/>
          <w:lang w:eastAsia="en-US"/>
        </w:rPr>
        <w:t>ского</w:t>
      </w:r>
      <w:proofErr w:type="spellEnd"/>
      <w:r w:rsidRPr="00D24BED">
        <w:rPr>
          <w:rFonts w:eastAsia="Calibri"/>
          <w:lang w:eastAsia="en-US"/>
        </w:rPr>
        <w:t xml:space="preserve"> сельского поселения за 2023 год (далее – бюджет поселения) поступил в финансово-экономическую комиссию в срок до 01 апреля, на бумажном носителе, согласно п.3 ст. 264.4 Бюджетного Кодекса Российской Федерации.</w:t>
      </w:r>
    </w:p>
    <w:p w:rsidR="00B60AFD" w:rsidRPr="00D24BED" w:rsidRDefault="00B60AFD" w:rsidP="00B60AFD">
      <w:pPr>
        <w:ind w:firstLine="709"/>
        <w:jc w:val="both"/>
      </w:pPr>
      <w:r w:rsidRPr="00D24BED">
        <w:t>Вместе с годовым отчетом об исполнении бюджета представлен проект решения об исполнении бюджета с приложениями, который в полной мере соответствует требованиям ст.264.6 БК РФ.</w:t>
      </w:r>
    </w:p>
    <w:p w:rsidR="00B60AFD" w:rsidRPr="00D24BED" w:rsidRDefault="00B60AFD" w:rsidP="00B60AFD">
      <w:pPr>
        <w:spacing w:after="200"/>
        <w:contextualSpacing/>
        <w:jc w:val="both"/>
        <w:rPr>
          <w:rFonts w:eastAsia="Calibri"/>
          <w:lang w:eastAsia="en-US"/>
        </w:rPr>
      </w:pPr>
      <w:r w:rsidRPr="00D24BED">
        <w:rPr>
          <w:rFonts w:eastAsia="Calibri"/>
          <w:lang w:eastAsia="en-US"/>
        </w:rPr>
        <w:t xml:space="preserve">         На основании статьи 219.1 Бюджетного кодекса Российской Федерации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B60AFD" w:rsidRDefault="00B60AFD" w:rsidP="00B60AFD">
      <w:pPr>
        <w:widowControl w:val="0"/>
        <w:autoSpaceDE w:val="0"/>
        <w:autoSpaceDN w:val="0"/>
        <w:adjustRightInd w:val="0"/>
        <w:ind w:right="-1"/>
        <w:jc w:val="both"/>
        <w:rPr>
          <w:rFonts w:eastAsia="Calibri"/>
          <w:lang w:eastAsia="en-US"/>
        </w:rPr>
      </w:pPr>
      <w:r w:rsidRPr="00DE7D06">
        <w:rPr>
          <w:rFonts w:eastAsia="Calibri"/>
          <w:lang w:eastAsia="en-US"/>
        </w:rPr>
        <w:t xml:space="preserve">         </w:t>
      </w:r>
      <w:r w:rsidRPr="00722E1A">
        <w:rPr>
          <w:rFonts w:eastAsia="Calibri"/>
          <w:lang w:eastAsia="en-US"/>
        </w:rPr>
        <w:t xml:space="preserve">Показатели бюджетной росписи по расходам утверждены в сумме </w:t>
      </w:r>
      <w:r>
        <w:rPr>
          <w:sz w:val="20"/>
          <w:szCs w:val="20"/>
        </w:rPr>
        <w:t>2 710,33</w:t>
      </w:r>
      <w:r w:rsidRPr="00722E1A">
        <w:rPr>
          <w:sz w:val="20"/>
          <w:szCs w:val="20"/>
        </w:rPr>
        <w:t xml:space="preserve"> тыс</w:t>
      </w:r>
      <w:proofErr w:type="gramStart"/>
      <w:r w:rsidRPr="00722E1A">
        <w:rPr>
          <w:sz w:val="20"/>
          <w:szCs w:val="20"/>
        </w:rPr>
        <w:t>.р</w:t>
      </w:r>
      <w:proofErr w:type="gramEnd"/>
      <w:r w:rsidRPr="00722E1A">
        <w:rPr>
          <w:sz w:val="20"/>
          <w:szCs w:val="20"/>
        </w:rPr>
        <w:t>ублей</w:t>
      </w:r>
      <w:r w:rsidRPr="00722E1A">
        <w:rPr>
          <w:rFonts w:eastAsia="Calibri"/>
          <w:lang w:eastAsia="en-US"/>
        </w:rPr>
        <w:t>, что соответствует объему расходов бюджета поселения, утвержденному решением Совета депутатов от 2</w:t>
      </w:r>
      <w:r>
        <w:rPr>
          <w:rFonts w:eastAsia="Calibri"/>
          <w:lang w:eastAsia="en-US"/>
        </w:rPr>
        <w:t>3</w:t>
      </w:r>
      <w:r w:rsidRPr="00722E1A">
        <w:rPr>
          <w:rFonts w:eastAsia="Calibri"/>
          <w:lang w:eastAsia="en-US"/>
        </w:rPr>
        <w:t>.12.20</w:t>
      </w:r>
      <w:r>
        <w:rPr>
          <w:rFonts w:eastAsia="Calibri"/>
          <w:lang w:eastAsia="en-US"/>
        </w:rPr>
        <w:t>22</w:t>
      </w:r>
      <w:r w:rsidRPr="00722E1A">
        <w:rPr>
          <w:rFonts w:eastAsia="Calibri"/>
          <w:lang w:eastAsia="en-US"/>
        </w:rPr>
        <w:t xml:space="preserve"> № </w:t>
      </w:r>
      <w:r>
        <w:rPr>
          <w:rFonts w:eastAsia="Calibri"/>
          <w:lang w:eastAsia="en-US"/>
        </w:rPr>
        <w:t>43</w:t>
      </w:r>
    </w:p>
    <w:p w:rsidR="00B60AFD" w:rsidRPr="00D24BED" w:rsidRDefault="00B60AFD" w:rsidP="00B60AFD">
      <w:pPr>
        <w:pStyle w:val="a3"/>
        <w:widowControl w:val="0"/>
        <w:numPr>
          <w:ilvl w:val="0"/>
          <w:numId w:val="27"/>
        </w:numPr>
        <w:autoSpaceDE w:val="0"/>
        <w:autoSpaceDN w:val="0"/>
        <w:adjustRightInd w:val="0"/>
        <w:ind w:right="-1"/>
        <w:jc w:val="center"/>
        <w:rPr>
          <w:rFonts w:ascii="Times New Roman" w:hAnsi="Times New Roman"/>
          <w:b/>
          <w:sz w:val="24"/>
          <w:szCs w:val="24"/>
        </w:rPr>
      </w:pPr>
      <w:r w:rsidRPr="00D24BED">
        <w:rPr>
          <w:rFonts w:ascii="Times New Roman" w:hAnsi="Times New Roman"/>
          <w:b/>
          <w:sz w:val="24"/>
          <w:szCs w:val="24"/>
        </w:rPr>
        <w:t xml:space="preserve">Анализ бюджетного процесса в </w:t>
      </w:r>
      <w:proofErr w:type="spellStart"/>
      <w:r w:rsidRPr="00D24BED">
        <w:rPr>
          <w:rFonts w:ascii="Times New Roman" w:hAnsi="Times New Roman"/>
          <w:b/>
          <w:sz w:val="24"/>
          <w:szCs w:val="24"/>
        </w:rPr>
        <w:t>Каскатском</w:t>
      </w:r>
      <w:proofErr w:type="spellEnd"/>
      <w:r w:rsidRPr="00D24BED">
        <w:rPr>
          <w:rFonts w:ascii="Times New Roman" w:hAnsi="Times New Roman"/>
          <w:b/>
          <w:sz w:val="24"/>
          <w:szCs w:val="24"/>
        </w:rPr>
        <w:t xml:space="preserve"> сельском поселении.</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 xml:space="preserve">В 2023 году бюджетный процесс в </w:t>
      </w:r>
      <w:proofErr w:type="spellStart"/>
      <w:r w:rsidRPr="00D24BED">
        <w:rPr>
          <w:rFonts w:ascii="Times New Roman" w:hAnsi="Times New Roman"/>
          <w:sz w:val="24"/>
          <w:szCs w:val="24"/>
        </w:rPr>
        <w:t>Каскатском</w:t>
      </w:r>
      <w:proofErr w:type="spellEnd"/>
      <w:r w:rsidRPr="00D24BED">
        <w:rPr>
          <w:rFonts w:ascii="Times New Roman" w:hAnsi="Times New Roman"/>
          <w:sz w:val="24"/>
          <w:szCs w:val="24"/>
        </w:rPr>
        <w:t xml:space="preserve"> сельском поселении осуществлялся в соответствии с БК РФ, Положением о бюджетном процессе, Решением Совета депутатов </w:t>
      </w:r>
      <w:proofErr w:type="spellStart"/>
      <w:r w:rsidRPr="00D24BED">
        <w:rPr>
          <w:rFonts w:ascii="Times New Roman" w:hAnsi="Times New Roman"/>
          <w:sz w:val="24"/>
          <w:szCs w:val="24"/>
        </w:rPr>
        <w:lastRenderedPageBreak/>
        <w:t>Каскатского</w:t>
      </w:r>
      <w:proofErr w:type="spellEnd"/>
      <w:r w:rsidRPr="00D24BED">
        <w:rPr>
          <w:rFonts w:ascii="Times New Roman" w:hAnsi="Times New Roman"/>
          <w:sz w:val="24"/>
          <w:szCs w:val="24"/>
        </w:rPr>
        <w:t xml:space="preserve"> сельского поселения от 23.12.2022 № 43 «О бюджете </w:t>
      </w:r>
      <w:proofErr w:type="spellStart"/>
      <w:r w:rsidRPr="00D24BED">
        <w:rPr>
          <w:rFonts w:ascii="Times New Roman" w:hAnsi="Times New Roman"/>
          <w:sz w:val="24"/>
          <w:szCs w:val="24"/>
        </w:rPr>
        <w:t>Каскатского</w:t>
      </w:r>
      <w:proofErr w:type="spellEnd"/>
      <w:r w:rsidRPr="00D24BED">
        <w:rPr>
          <w:rFonts w:ascii="Times New Roman" w:hAnsi="Times New Roman"/>
          <w:sz w:val="24"/>
          <w:szCs w:val="24"/>
        </w:rPr>
        <w:t xml:space="preserve"> сельского поселения на 2023 год и на плановый период 2024 и 2025 годов» (с учетом внесенных изменений и дополнений).</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 xml:space="preserve">В ходе проверки установлено, что данные сводной бюджетной росписи и лимитов бюджетных обязательств (с учетом внесенных изменений) соответствуют бюджетным назначениям, утвержденным Решением о бюджете на 2023 год. </w:t>
      </w:r>
    </w:p>
    <w:p w:rsidR="00B60AFD" w:rsidRPr="00D24BED" w:rsidRDefault="00B60AFD" w:rsidP="00B60AFD">
      <w:pPr>
        <w:pStyle w:val="a3"/>
        <w:widowControl w:val="0"/>
        <w:numPr>
          <w:ilvl w:val="0"/>
          <w:numId w:val="30"/>
        </w:numPr>
        <w:autoSpaceDE w:val="0"/>
        <w:autoSpaceDN w:val="0"/>
        <w:adjustRightInd w:val="0"/>
        <w:ind w:right="-1"/>
        <w:jc w:val="center"/>
        <w:rPr>
          <w:rFonts w:ascii="Times New Roman" w:hAnsi="Times New Roman"/>
          <w:b/>
          <w:sz w:val="24"/>
          <w:szCs w:val="24"/>
        </w:rPr>
      </w:pPr>
      <w:r w:rsidRPr="00D24BED">
        <w:rPr>
          <w:rFonts w:ascii="Times New Roman" w:hAnsi="Times New Roman"/>
          <w:b/>
          <w:sz w:val="24"/>
          <w:szCs w:val="24"/>
        </w:rPr>
        <w:t xml:space="preserve">Анализ исполнения основных характеристик бюджета </w:t>
      </w:r>
      <w:proofErr w:type="spellStart"/>
      <w:r w:rsidRPr="00D24BED">
        <w:rPr>
          <w:rFonts w:ascii="Times New Roman" w:hAnsi="Times New Roman"/>
          <w:b/>
          <w:sz w:val="24"/>
          <w:szCs w:val="24"/>
        </w:rPr>
        <w:t>Каскатского</w:t>
      </w:r>
      <w:proofErr w:type="spellEnd"/>
      <w:r w:rsidRPr="00D24BED">
        <w:rPr>
          <w:rFonts w:ascii="Times New Roman" w:hAnsi="Times New Roman"/>
          <w:b/>
          <w:sz w:val="24"/>
          <w:szCs w:val="24"/>
        </w:rPr>
        <w:t xml:space="preserve"> сельского поселения в 2023 году.</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 xml:space="preserve">Решением Совета депутатов </w:t>
      </w:r>
      <w:proofErr w:type="spellStart"/>
      <w:r w:rsidRPr="00D24BED">
        <w:rPr>
          <w:rFonts w:ascii="Times New Roman" w:hAnsi="Times New Roman"/>
          <w:sz w:val="24"/>
          <w:szCs w:val="24"/>
        </w:rPr>
        <w:t>Каскатского</w:t>
      </w:r>
      <w:proofErr w:type="spellEnd"/>
      <w:r w:rsidRPr="00D24BED">
        <w:rPr>
          <w:rFonts w:ascii="Times New Roman" w:hAnsi="Times New Roman"/>
          <w:sz w:val="24"/>
          <w:szCs w:val="24"/>
        </w:rPr>
        <w:t xml:space="preserve"> сельского поселения от 23.12.2022 № 43 «О бюджете </w:t>
      </w:r>
      <w:proofErr w:type="spellStart"/>
      <w:r w:rsidRPr="00D24BED">
        <w:rPr>
          <w:rFonts w:ascii="Times New Roman" w:hAnsi="Times New Roman"/>
          <w:sz w:val="24"/>
          <w:szCs w:val="24"/>
        </w:rPr>
        <w:t>Каскатского</w:t>
      </w:r>
      <w:proofErr w:type="spellEnd"/>
      <w:r w:rsidRPr="00D24BED">
        <w:rPr>
          <w:rFonts w:ascii="Times New Roman" w:hAnsi="Times New Roman"/>
          <w:sz w:val="24"/>
          <w:szCs w:val="24"/>
        </w:rPr>
        <w:t xml:space="preserve"> сельского поселения на 2023 год и на плановый период 2024 и 2025 годов»» утверждены основные характеристики бюджета на 2023 год:</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-Прогнозный общий объем доходов поселения в сумме 2 161,07 тыс. рублей;</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-Общий объем расходов бюджета поселения в сумме 2 161,07тыс. рублей.</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В ходе исполнения бюджета поселения параметры бюджета поселения изменены в сторону увеличения по доходам на сумму 8 604,51 тыс. рублей, в сторону увеличения по расходам на 8 557,49 тыс. рублей.</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 xml:space="preserve">В окончательной редакции с учетом изменений и дополнений, внесенных решениями Совета депутатов </w:t>
      </w:r>
      <w:proofErr w:type="spellStart"/>
      <w:r w:rsidRPr="00D24BED">
        <w:rPr>
          <w:rFonts w:ascii="Times New Roman" w:hAnsi="Times New Roman"/>
          <w:sz w:val="24"/>
          <w:szCs w:val="24"/>
        </w:rPr>
        <w:t>Каскатского</w:t>
      </w:r>
      <w:proofErr w:type="spellEnd"/>
      <w:r w:rsidRPr="00D24BED">
        <w:rPr>
          <w:rFonts w:ascii="Times New Roman" w:hAnsi="Times New Roman"/>
          <w:sz w:val="24"/>
          <w:szCs w:val="24"/>
        </w:rPr>
        <w:t xml:space="preserve"> сельского поселения   от 21.12.2023 № 57 «О внесении изменений и дополнений в решение Совета от 23.12.2022 г. № 43» утверждены:</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-Прогнозируемый   общий объем доходов бюджета поселения в сумме 4 116 ,62 тыс. рублей;</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-Общий объем расходов бюджета поселения в сумме 4 292,80 тыс. рублей.</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 xml:space="preserve">-Прогнозируемый дефицит  бюджета поселения 176,18 рублей. </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Фактическое исполнение бюджета поселения по данным ф.0503117, Проекта решения об исполнении бюджета за 2023 год по доходам составило 4 150,23 тыс. рублей (100,82 % уточненного плана), по расходам  4 254,17  (99,10 % от уточненного плана).</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Основные характеристики бюджета поселения на 2023 год.</w:t>
      </w:r>
    </w:p>
    <w:p w:rsidR="00B60AFD" w:rsidRPr="00D24BED" w:rsidRDefault="00B60AFD" w:rsidP="00B60AFD">
      <w:pPr>
        <w:pStyle w:val="a3"/>
        <w:widowControl w:val="0"/>
        <w:autoSpaceDE w:val="0"/>
        <w:autoSpaceDN w:val="0"/>
        <w:adjustRightInd w:val="0"/>
        <w:ind w:left="0" w:right="-1"/>
        <w:rPr>
          <w:rFonts w:ascii="Times New Roman" w:hAnsi="Times New Roman"/>
          <w:sz w:val="24"/>
          <w:szCs w:val="24"/>
          <w:vertAlign w:val="superscript"/>
        </w:rPr>
      </w:pPr>
      <w:r w:rsidRPr="00D24BED">
        <w:rPr>
          <w:rFonts w:ascii="Times New Roman" w:hAnsi="Times New Roman"/>
          <w:sz w:val="24"/>
          <w:szCs w:val="24"/>
          <w:vertAlign w:val="superscript"/>
        </w:rPr>
        <w:t>Таблица 1</w:t>
      </w:r>
    </w:p>
    <w:tbl>
      <w:tblPr>
        <w:tblStyle w:val="ad"/>
        <w:tblW w:w="0" w:type="auto"/>
        <w:tblLook w:val="04A0"/>
      </w:tblPr>
      <w:tblGrid>
        <w:gridCol w:w="2392"/>
        <w:gridCol w:w="2392"/>
        <w:gridCol w:w="2393"/>
        <w:gridCol w:w="2393"/>
      </w:tblGrid>
      <w:tr w:rsidR="00B60AFD" w:rsidRPr="00D24BED" w:rsidTr="00BC181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 xml:space="preserve">Наименование показателя </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Утверждено Решением о бюджете на 2023 год (в редакции от 21.12.2023 №57), тыс</w:t>
            </w:r>
            <w:proofErr w:type="gramStart"/>
            <w:r w:rsidRPr="00D24BED">
              <w:rPr>
                <w:vertAlign w:val="superscript"/>
              </w:rPr>
              <w:t>.р</w:t>
            </w:r>
            <w:proofErr w:type="gramEnd"/>
            <w:r w:rsidRPr="00D24BED">
              <w:rPr>
                <w:vertAlign w:val="superscript"/>
              </w:rPr>
              <w:t>ублей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 xml:space="preserve">Исполнено, </w:t>
            </w:r>
          </w:p>
          <w:p w:rsidR="00B60AFD" w:rsidRPr="00D24BED" w:rsidRDefault="00B60AFD" w:rsidP="00BC1811">
            <w:pPr>
              <w:pStyle w:val="af"/>
              <w:rPr>
                <w:vertAlign w:val="superscript"/>
              </w:rPr>
            </w:pPr>
            <w:r w:rsidRPr="00D24BED">
              <w:rPr>
                <w:vertAlign w:val="superscript"/>
              </w:rPr>
              <w:t>Проект решения об исполнении бюджета за 2023 год  тыс</w:t>
            </w:r>
            <w:proofErr w:type="gramStart"/>
            <w:r w:rsidRPr="00D24BED">
              <w:rPr>
                <w:vertAlign w:val="superscript"/>
              </w:rPr>
              <w:t>.р</w:t>
            </w:r>
            <w:proofErr w:type="gramEnd"/>
            <w:r w:rsidRPr="00D24BED">
              <w:rPr>
                <w:vertAlign w:val="superscript"/>
              </w:rPr>
              <w:t>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Процент исполнения</w:t>
            </w:r>
            <w:proofErr w:type="gramStart"/>
            <w:r w:rsidRPr="00D24BED">
              <w:rPr>
                <w:vertAlign w:val="superscript"/>
              </w:rPr>
              <w:t xml:space="preserve"> ,</w:t>
            </w:r>
            <w:proofErr w:type="gramEnd"/>
            <w:r w:rsidRPr="00D24BED">
              <w:rPr>
                <w:vertAlign w:val="superscript"/>
              </w:rPr>
              <w:t xml:space="preserve"> %</w:t>
            </w:r>
          </w:p>
        </w:tc>
      </w:tr>
      <w:tr w:rsidR="00B60AFD" w:rsidRPr="00D24BED" w:rsidTr="00BC181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Общий объем дохода</w:t>
            </w:r>
            <w:proofErr w:type="gramStart"/>
            <w:r w:rsidRPr="00D24BED">
              <w:rPr>
                <w:vertAlign w:val="superscript"/>
              </w:rPr>
              <w:t xml:space="preserve"> ,</w:t>
            </w:r>
            <w:proofErr w:type="gramEnd"/>
            <w:r w:rsidRPr="00D24BED">
              <w:rPr>
                <w:vertAlign w:val="superscript"/>
              </w:rPr>
              <w:t xml:space="preserve"> в том числе </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4 116,62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4 150,23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100,82</w:t>
            </w:r>
          </w:p>
        </w:tc>
      </w:tr>
      <w:tr w:rsidR="00B60AFD" w:rsidRPr="00D24BED" w:rsidTr="00BC181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 xml:space="preserve">Безвозмездные поступления </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3 253,46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3 313,14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101,83</w:t>
            </w:r>
          </w:p>
        </w:tc>
      </w:tr>
      <w:tr w:rsidR="00B60AFD" w:rsidRPr="00D24BED" w:rsidTr="00BC181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 xml:space="preserve">Общий объем поступлений без учета безвозмездных поступлений </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863,16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837,09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AFD" w:rsidRPr="00D24BED" w:rsidRDefault="00B60AFD" w:rsidP="00BC1811">
            <w:pPr>
              <w:pStyle w:val="af"/>
              <w:rPr>
                <w:vertAlign w:val="superscript"/>
              </w:rPr>
            </w:pPr>
            <w:r w:rsidRPr="00D24BED">
              <w:rPr>
                <w:vertAlign w:val="superscript"/>
              </w:rPr>
              <w:t>96,98</w:t>
            </w:r>
          </w:p>
          <w:p w:rsidR="00B60AFD" w:rsidRPr="00D24BED" w:rsidRDefault="00B60AFD" w:rsidP="00BC1811">
            <w:pPr>
              <w:pStyle w:val="af"/>
              <w:rPr>
                <w:vertAlign w:val="superscript"/>
              </w:rPr>
            </w:pPr>
          </w:p>
          <w:p w:rsidR="00B60AFD" w:rsidRPr="00D24BED" w:rsidRDefault="00B60AFD" w:rsidP="00BC1811">
            <w:pPr>
              <w:pStyle w:val="af"/>
              <w:rPr>
                <w:vertAlign w:val="superscript"/>
              </w:rPr>
            </w:pPr>
          </w:p>
        </w:tc>
      </w:tr>
      <w:tr w:rsidR="00B60AFD" w:rsidRPr="00D24BED" w:rsidTr="00BC181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Расходы</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highlight w:val="yellow"/>
                <w:vertAlign w:val="superscript"/>
              </w:rPr>
            </w:pPr>
            <w:r w:rsidRPr="00D24BED">
              <w:rPr>
                <w:vertAlign w:val="superscript"/>
              </w:rPr>
              <w:t>4 292, 80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4 254,17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99,10</w:t>
            </w:r>
          </w:p>
        </w:tc>
      </w:tr>
      <w:tr w:rsidR="00B60AFD" w:rsidRPr="00D24BED" w:rsidTr="00BC181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Дефицит</w:t>
            </w:r>
            <w:proofErr w:type="gramStart"/>
            <w:r w:rsidRPr="00D24BED">
              <w:rPr>
                <w:vertAlign w:val="superscript"/>
              </w:rPr>
              <w:t xml:space="preserve"> (-)/ </w:t>
            </w:r>
            <w:proofErr w:type="spellStart"/>
            <w:proofErr w:type="gramEnd"/>
            <w:r w:rsidRPr="00D24BED">
              <w:rPr>
                <w:vertAlign w:val="superscript"/>
              </w:rPr>
              <w:t>профицит</w:t>
            </w:r>
            <w:proofErr w:type="spellEnd"/>
            <w:r w:rsidRPr="00D24BED">
              <w:rPr>
                <w:vertAlign w:val="superscript"/>
              </w:rPr>
              <w:t xml:space="preserve"> (+)</w:t>
            </w:r>
          </w:p>
        </w:tc>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jc w:val="center"/>
              <w:rPr>
                <w:vertAlign w:val="superscript"/>
              </w:rPr>
            </w:pPr>
            <w:r w:rsidRPr="00D24BED">
              <w:rPr>
                <w:vertAlign w:val="superscript"/>
              </w:rPr>
              <w:t>-176,18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-103,94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proofErr w:type="spellStart"/>
            <w:r w:rsidRPr="00D24BED">
              <w:rPr>
                <w:vertAlign w:val="superscript"/>
              </w:rPr>
              <w:t>х</w:t>
            </w:r>
            <w:proofErr w:type="spellEnd"/>
          </w:p>
        </w:tc>
      </w:tr>
    </w:tbl>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vertAlign w:val="superscript"/>
        </w:rPr>
      </w:pP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Доходы исполнены на 100,82 %.</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Расходы исполнены на 99,10 %, неисполненные назначения составили сумму 38,63 тыс. рублей.</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p>
    <w:p w:rsidR="00B60AFD" w:rsidRPr="00D24BED" w:rsidRDefault="00B60AFD" w:rsidP="00B60AFD">
      <w:pPr>
        <w:pStyle w:val="a3"/>
        <w:widowControl w:val="0"/>
        <w:numPr>
          <w:ilvl w:val="0"/>
          <w:numId w:val="30"/>
        </w:numPr>
        <w:autoSpaceDE w:val="0"/>
        <w:autoSpaceDN w:val="0"/>
        <w:adjustRightInd w:val="0"/>
        <w:ind w:right="-1"/>
        <w:jc w:val="center"/>
        <w:rPr>
          <w:rFonts w:ascii="Times New Roman" w:hAnsi="Times New Roman"/>
          <w:b/>
          <w:sz w:val="24"/>
          <w:szCs w:val="24"/>
        </w:rPr>
      </w:pPr>
      <w:r w:rsidRPr="00D24BED">
        <w:rPr>
          <w:rFonts w:ascii="Times New Roman" w:hAnsi="Times New Roman"/>
          <w:b/>
          <w:sz w:val="24"/>
          <w:szCs w:val="24"/>
        </w:rPr>
        <w:t>Исполнение доходной части бюджета поселения за 2023 год.</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Исполнение доходной части бюджета за 2023 год характеризуется следующими показателями:</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vertAlign w:val="superscript"/>
        </w:rPr>
      </w:pPr>
      <w:r w:rsidRPr="00D24BED">
        <w:rPr>
          <w:rFonts w:ascii="Times New Roman" w:hAnsi="Times New Roman"/>
          <w:sz w:val="24"/>
          <w:szCs w:val="24"/>
          <w:vertAlign w:val="superscript"/>
        </w:rPr>
        <w:t>Таблица 2</w:t>
      </w:r>
    </w:p>
    <w:tbl>
      <w:tblPr>
        <w:tblStyle w:val="ad"/>
        <w:tblW w:w="0" w:type="auto"/>
        <w:tblLook w:val="04A0"/>
      </w:tblPr>
      <w:tblGrid>
        <w:gridCol w:w="1787"/>
        <w:gridCol w:w="1855"/>
        <w:gridCol w:w="1667"/>
        <w:gridCol w:w="1667"/>
        <w:gridCol w:w="1667"/>
      </w:tblGrid>
      <w:tr w:rsidR="00B60AFD" w:rsidRPr="00D24BED" w:rsidTr="00BC1811">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Виды доходов</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 xml:space="preserve">Утверждено Решением </w:t>
            </w:r>
            <w:r w:rsidRPr="00D24BED">
              <w:rPr>
                <w:vertAlign w:val="superscript"/>
              </w:rPr>
              <w:lastRenderedPageBreak/>
              <w:t>о бюджете на 2023 год (в редакции от 21.12.2023 №57) тыс</w:t>
            </w:r>
            <w:proofErr w:type="gramStart"/>
            <w:r w:rsidRPr="00D24BED">
              <w:rPr>
                <w:vertAlign w:val="superscript"/>
              </w:rPr>
              <w:t>.р</w:t>
            </w:r>
            <w:proofErr w:type="gramEnd"/>
            <w:r w:rsidRPr="00D24BED">
              <w:rPr>
                <w:vertAlign w:val="superscript"/>
              </w:rPr>
              <w:t>ублей</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lastRenderedPageBreak/>
              <w:t xml:space="preserve">Исполнено, Проект </w:t>
            </w:r>
            <w:r w:rsidRPr="00D24BED">
              <w:rPr>
                <w:vertAlign w:val="superscript"/>
              </w:rPr>
              <w:lastRenderedPageBreak/>
              <w:t>решения об исполнении бюджета за 2023  год</w:t>
            </w:r>
          </w:p>
          <w:p w:rsidR="00B60AFD" w:rsidRPr="00D24BED" w:rsidRDefault="00B60AFD" w:rsidP="00BC1811">
            <w:pPr>
              <w:pStyle w:val="af"/>
              <w:rPr>
                <w:vertAlign w:val="superscript"/>
              </w:rPr>
            </w:pPr>
            <w:r w:rsidRPr="00D24BED">
              <w:rPr>
                <w:vertAlign w:val="superscript"/>
              </w:rPr>
              <w:t>тыс</w:t>
            </w:r>
            <w:proofErr w:type="gramStart"/>
            <w:r w:rsidRPr="00D24BED">
              <w:rPr>
                <w:vertAlign w:val="superscript"/>
              </w:rPr>
              <w:t>.р</w:t>
            </w:r>
            <w:proofErr w:type="gramEnd"/>
            <w:r w:rsidRPr="00D24BED">
              <w:rPr>
                <w:vertAlign w:val="superscript"/>
              </w:rPr>
              <w:t xml:space="preserve">уб.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lastRenderedPageBreak/>
              <w:t xml:space="preserve">Удельный вес, в </w:t>
            </w:r>
            <w:r w:rsidRPr="00D24BED">
              <w:rPr>
                <w:vertAlign w:val="superscript"/>
              </w:rPr>
              <w:lastRenderedPageBreak/>
              <w:t>общем объеме доходов,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lastRenderedPageBreak/>
              <w:t>Процент исполнения</w:t>
            </w:r>
            <w:proofErr w:type="gramStart"/>
            <w:r w:rsidRPr="00D24BED">
              <w:rPr>
                <w:vertAlign w:val="superscript"/>
              </w:rPr>
              <w:t xml:space="preserve"> </w:t>
            </w:r>
            <w:r w:rsidRPr="00D24BED">
              <w:rPr>
                <w:vertAlign w:val="superscript"/>
              </w:rPr>
              <w:lastRenderedPageBreak/>
              <w:t>,</w:t>
            </w:r>
            <w:proofErr w:type="gramEnd"/>
            <w:r w:rsidRPr="00D24BED">
              <w:rPr>
                <w:vertAlign w:val="superscript"/>
              </w:rPr>
              <w:t xml:space="preserve"> %</w:t>
            </w:r>
          </w:p>
        </w:tc>
      </w:tr>
      <w:tr w:rsidR="00B60AFD" w:rsidRPr="00D24BED" w:rsidTr="00BC1811">
        <w:trPr>
          <w:trHeight w:val="605"/>
        </w:trPr>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lastRenderedPageBreak/>
              <w:t>Налоговые доходы</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863,16</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837,09</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20,97</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96,98</w:t>
            </w:r>
          </w:p>
        </w:tc>
      </w:tr>
      <w:tr w:rsidR="00B60AFD" w:rsidRPr="00D24BED" w:rsidTr="00BC1811">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Неналоговые доходы</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52,66</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52,66</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1,28</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100</w:t>
            </w:r>
          </w:p>
        </w:tc>
      </w:tr>
      <w:tr w:rsidR="00B60AFD" w:rsidRPr="00D24BED" w:rsidTr="00BC1811">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 xml:space="preserve">Безвозмездные поступления </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3 253,46</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3 313,14</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 xml:space="preserve"> 101,83</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vertAlign w:val="superscript"/>
              </w:rPr>
            </w:pPr>
            <w:r w:rsidRPr="00D24BED">
              <w:rPr>
                <w:vertAlign w:val="superscript"/>
              </w:rPr>
              <w:t>79,83</w:t>
            </w:r>
          </w:p>
        </w:tc>
      </w:tr>
      <w:tr w:rsidR="00B60AFD" w:rsidRPr="00D24BED" w:rsidTr="00BC1811">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b/>
                <w:vertAlign w:val="superscript"/>
              </w:rPr>
            </w:pPr>
            <w:r w:rsidRPr="00D24BED">
              <w:rPr>
                <w:b/>
                <w:vertAlign w:val="superscript"/>
              </w:rPr>
              <w:t>Всего доходов</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b/>
                <w:vertAlign w:val="superscript"/>
              </w:rPr>
            </w:pPr>
            <w:r w:rsidRPr="00D24BED">
              <w:rPr>
                <w:b/>
                <w:vertAlign w:val="superscript"/>
              </w:rPr>
              <w:t>4 116,62</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b/>
                <w:vertAlign w:val="superscript"/>
              </w:rPr>
            </w:pPr>
            <w:r w:rsidRPr="00D24BED">
              <w:rPr>
                <w:b/>
                <w:vertAlign w:val="superscript"/>
              </w:rPr>
              <w:t>4 150,23</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b/>
                <w:vertAlign w:val="superscript"/>
              </w:rPr>
            </w:pPr>
            <w:r w:rsidRPr="00D24BED">
              <w:rPr>
                <w:b/>
                <w:vertAlign w:val="superscript"/>
              </w:rPr>
              <w:t>100,82</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24BED" w:rsidRDefault="00B60AFD" w:rsidP="00BC1811">
            <w:pPr>
              <w:pStyle w:val="af"/>
              <w:rPr>
                <w:b/>
                <w:vertAlign w:val="superscript"/>
              </w:rPr>
            </w:pPr>
            <w:r w:rsidRPr="00D24BED">
              <w:rPr>
                <w:b/>
                <w:vertAlign w:val="superscript"/>
              </w:rPr>
              <w:t>100,82</w:t>
            </w:r>
          </w:p>
        </w:tc>
      </w:tr>
    </w:tbl>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Доходная часть бюджета поселения исполнена на 100,82 % к уточненному плану.</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Исполнение и структура доходной части бюджета за 2023 год по основным источникам поступлений представлена в таблице:</w:t>
      </w:r>
    </w:p>
    <w:p w:rsidR="00B60AFD" w:rsidRPr="00D24BED" w:rsidRDefault="00B60AFD" w:rsidP="00B60AFD">
      <w:pPr>
        <w:tabs>
          <w:tab w:val="num" w:pos="709"/>
          <w:tab w:val="num" w:pos="851"/>
        </w:tabs>
        <w:ind w:right="-29"/>
        <w:jc w:val="both"/>
        <w:rPr>
          <w:vertAlign w:val="superscript"/>
        </w:rPr>
      </w:pPr>
      <w:r w:rsidRPr="00D24BED">
        <w:rPr>
          <w:vertAlign w:val="superscript"/>
        </w:rPr>
        <w:t>Таблица 3</w:t>
      </w:r>
    </w:p>
    <w:tbl>
      <w:tblPr>
        <w:tblW w:w="10700"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559"/>
        <w:gridCol w:w="1560"/>
        <w:gridCol w:w="1559"/>
        <w:gridCol w:w="1678"/>
        <w:gridCol w:w="1118"/>
        <w:gridCol w:w="1417"/>
      </w:tblGrid>
      <w:tr w:rsidR="00B60AFD" w:rsidRPr="00D24BED" w:rsidTr="00BC1811">
        <w:tc>
          <w:tcPr>
            <w:tcW w:w="180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Наименование</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Утвержденный</w:t>
            </w:r>
          </w:p>
          <w:p w:rsidR="00B60AFD" w:rsidRPr="00D24BED" w:rsidRDefault="00B60AFD" w:rsidP="00BC1811">
            <w:pPr>
              <w:ind w:right="-55"/>
              <w:jc w:val="center"/>
              <w:rPr>
                <w:vertAlign w:val="superscript"/>
              </w:rPr>
            </w:pPr>
            <w:r w:rsidRPr="00D24BED">
              <w:rPr>
                <w:vertAlign w:val="superscript"/>
              </w:rPr>
              <w:t xml:space="preserve">  бюджет  на 2023 год</w:t>
            </w:r>
          </w:p>
          <w:p w:rsidR="00B60AFD" w:rsidRPr="00D24BED" w:rsidRDefault="00B60AFD" w:rsidP="00BC1811">
            <w:pPr>
              <w:ind w:right="-55"/>
              <w:jc w:val="center"/>
              <w:rPr>
                <w:vertAlign w:val="superscript"/>
              </w:rPr>
            </w:pPr>
          </w:p>
        </w:tc>
        <w:tc>
          <w:tcPr>
            <w:tcW w:w="1560"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План  бюджета  с учетом изменений</w:t>
            </w:r>
          </w:p>
          <w:p w:rsidR="00B60AFD" w:rsidRPr="00D24BED" w:rsidRDefault="00B60AFD" w:rsidP="00BC1811">
            <w:pPr>
              <w:ind w:right="-55"/>
              <w:jc w:val="center"/>
              <w:rPr>
                <w:vertAlign w:val="superscript"/>
              </w:rPr>
            </w:pPr>
            <w:r w:rsidRPr="00D24BED">
              <w:rPr>
                <w:vertAlign w:val="superscript"/>
              </w:rPr>
              <w:t>на 2023 год</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Исполнение  за 2023 год.</w:t>
            </w:r>
          </w:p>
          <w:p w:rsidR="00B60AFD" w:rsidRPr="00D24BED" w:rsidRDefault="00B60AFD" w:rsidP="00BC1811">
            <w:pPr>
              <w:ind w:right="-55"/>
              <w:jc w:val="center"/>
              <w:rPr>
                <w:vertAlign w:val="superscript"/>
              </w:rPr>
            </w:pPr>
          </w:p>
        </w:tc>
        <w:tc>
          <w:tcPr>
            <w:tcW w:w="167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Исполнение за 2022 год.</w:t>
            </w:r>
          </w:p>
          <w:p w:rsidR="00B60AFD" w:rsidRPr="00D24BED" w:rsidRDefault="00B60AFD" w:rsidP="00BC1811">
            <w:pPr>
              <w:ind w:right="-55"/>
              <w:jc w:val="center"/>
              <w:rPr>
                <w:vertAlign w:val="superscript"/>
              </w:rPr>
            </w:pPr>
          </w:p>
        </w:tc>
        <w:tc>
          <w:tcPr>
            <w:tcW w:w="111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 xml:space="preserve">% </w:t>
            </w:r>
          </w:p>
          <w:p w:rsidR="00B60AFD" w:rsidRPr="00D24BED" w:rsidRDefault="00B60AFD" w:rsidP="00BC1811">
            <w:pPr>
              <w:ind w:right="-55"/>
              <w:jc w:val="center"/>
              <w:rPr>
                <w:vertAlign w:val="superscript"/>
              </w:rPr>
            </w:pPr>
            <w:r w:rsidRPr="00D24BED">
              <w:rPr>
                <w:vertAlign w:val="superscript"/>
              </w:rPr>
              <w:t>Исполнения  бюджета 2023 года</w:t>
            </w:r>
          </w:p>
        </w:tc>
        <w:tc>
          <w:tcPr>
            <w:tcW w:w="1417"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firstLine="72"/>
              <w:jc w:val="center"/>
              <w:rPr>
                <w:vertAlign w:val="superscript"/>
              </w:rPr>
            </w:pPr>
            <w:r w:rsidRPr="00D24BED">
              <w:rPr>
                <w:vertAlign w:val="superscript"/>
              </w:rPr>
              <w:t>Рост, снижение факта 2023 год к 2022 году</w:t>
            </w:r>
            <w:proofErr w:type="gramStart"/>
            <w:r w:rsidRPr="00D24BED">
              <w:rPr>
                <w:vertAlign w:val="superscript"/>
              </w:rPr>
              <w:t xml:space="preserve"> (%)</w:t>
            </w:r>
            <w:proofErr w:type="gramEnd"/>
          </w:p>
        </w:tc>
      </w:tr>
      <w:tr w:rsidR="00B60AFD" w:rsidRPr="00D24BED" w:rsidTr="00BC1811">
        <w:tc>
          <w:tcPr>
            <w:tcW w:w="180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both"/>
              <w:rPr>
                <w:vertAlign w:val="superscript"/>
              </w:rPr>
            </w:pPr>
            <w:r w:rsidRPr="00D24BED">
              <w:rPr>
                <w:vertAlign w:val="superscript"/>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57,42</w:t>
            </w:r>
          </w:p>
        </w:tc>
        <w:tc>
          <w:tcPr>
            <w:tcW w:w="1560"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71,85</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71,83</w:t>
            </w:r>
          </w:p>
        </w:tc>
        <w:tc>
          <w:tcPr>
            <w:tcW w:w="167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68,71</w:t>
            </w:r>
          </w:p>
        </w:tc>
        <w:tc>
          <w:tcPr>
            <w:tcW w:w="111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99,97</w:t>
            </w:r>
          </w:p>
        </w:tc>
        <w:tc>
          <w:tcPr>
            <w:tcW w:w="1417"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firstLine="72"/>
              <w:jc w:val="center"/>
              <w:rPr>
                <w:vertAlign w:val="superscript"/>
              </w:rPr>
            </w:pPr>
            <w:r w:rsidRPr="00D24BED">
              <w:rPr>
                <w:vertAlign w:val="superscript"/>
              </w:rPr>
              <w:t>104,54</w:t>
            </w:r>
          </w:p>
        </w:tc>
      </w:tr>
      <w:tr w:rsidR="00B60AFD" w:rsidRPr="00D24BED" w:rsidTr="00BC1811">
        <w:tc>
          <w:tcPr>
            <w:tcW w:w="180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both"/>
              <w:rPr>
                <w:vertAlign w:val="superscript"/>
              </w:rPr>
            </w:pPr>
            <w:r w:rsidRPr="00D24BED">
              <w:rPr>
                <w:vertAlign w:val="superscript"/>
              </w:rPr>
              <w:t>Акцизы по подакцизным товарам (продукции), производимым на территории РФ</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191,62</w:t>
            </w:r>
          </w:p>
        </w:tc>
        <w:tc>
          <w:tcPr>
            <w:tcW w:w="1560"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221,10</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223,05</w:t>
            </w:r>
          </w:p>
        </w:tc>
        <w:tc>
          <w:tcPr>
            <w:tcW w:w="167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210,34</w:t>
            </w:r>
          </w:p>
        </w:tc>
        <w:tc>
          <w:tcPr>
            <w:tcW w:w="111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jc w:val="center"/>
              <w:rPr>
                <w:vertAlign w:val="superscript"/>
              </w:rPr>
            </w:pPr>
            <w:r w:rsidRPr="00D24BED">
              <w:rPr>
                <w:vertAlign w:val="superscript"/>
              </w:rPr>
              <w:t>100,88</w:t>
            </w:r>
          </w:p>
        </w:tc>
        <w:tc>
          <w:tcPr>
            <w:tcW w:w="1417"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firstLine="72"/>
              <w:jc w:val="center"/>
              <w:rPr>
                <w:vertAlign w:val="superscript"/>
              </w:rPr>
            </w:pPr>
            <w:r w:rsidRPr="00D24BED">
              <w:rPr>
                <w:vertAlign w:val="superscript"/>
              </w:rPr>
              <w:t>106,04</w:t>
            </w:r>
          </w:p>
        </w:tc>
      </w:tr>
      <w:tr w:rsidR="00B60AFD" w:rsidRPr="00D24BED" w:rsidTr="00BC1811">
        <w:tc>
          <w:tcPr>
            <w:tcW w:w="180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both"/>
              <w:rPr>
                <w:vertAlign w:val="superscript"/>
              </w:rPr>
            </w:pPr>
            <w:r w:rsidRPr="00D24BED">
              <w:rPr>
                <w:vertAlign w:val="superscript"/>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0,00</w:t>
            </w:r>
          </w:p>
        </w:tc>
        <w:tc>
          <w:tcPr>
            <w:tcW w:w="1560"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0,00</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0,00</w:t>
            </w:r>
          </w:p>
        </w:tc>
        <w:tc>
          <w:tcPr>
            <w:tcW w:w="167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-0,034</w:t>
            </w:r>
          </w:p>
        </w:tc>
        <w:tc>
          <w:tcPr>
            <w:tcW w:w="111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jc w:val="center"/>
              <w:rPr>
                <w:vertAlign w:val="superscript"/>
              </w:rPr>
            </w:pPr>
            <w:r w:rsidRPr="00D24BED">
              <w:rPr>
                <w:vertAlign w:val="superscript"/>
              </w:rPr>
              <w:t>0</w:t>
            </w:r>
          </w:p>
        </w:tc>
        <w:tc>
          <w:tcPr>
            <w:tcW w:w="1417"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firstLine="72"/>
              <w:jc w:val="center"/>
              <w:rPr>
                <w:vertAlign w:val="superscript"/>
              </w:rPr>
            </w:pPr>
            <w:r w:rsidRPr="00D24BED">
              <w:rPr>
                <w:vertAlign w:val="superscript"/>
              </w:rPr>
              <w:t>0</w:t>
            </w:r>
          </w:p>
        </w:tc>
      </w:tr>
      <w:tr w:rsidR="00B60AFD" w:rsidRPr="00D24BED" w:rsidTr="00BC1811">
        <w:tc>
          <w:tcPr>
            <w:tcW w:w="180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both"/>
              <w:rPr>
                <w:vertAlign w:val="superscript"/>
              </w:rPr>
            </w:pPr>
            <w:r w:rsidRPr="00D24BED">
              <w:rPr>
                <w:vertAlign w:val="superscript"/>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8,00</w:t>
            </w:r>
          </w:p>
        </w:tc>
        <w:tc>
          <w:tcPr>
            <w:tcW w:w="1560"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10,00</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8,95</w:t>
            </w:r>
          </w:p>
        </w:tc>
        <w:tc>
          <w:tcPr>
            <w:tcW w:w="167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89,50</w:t>
            </w:r>
          </w:p>
        </w:tc>
        <w:tc>
          <w:tcPr>
            <w:tcW w:w="111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jc w:val="center"/>
              <w:rPr>
                <w:vertAlign w:val="superscript"/>
              </w:rPr>
            </w:pPr>
            <w:r w:rsidRPr="00D24BED">
              <w:rPr>
                <w:vertAlign w:val="superscript"/>
              </w:rPr>
              <w:t>100,2</w:t>
            </w:r>
          </w:p>
        </w:tc>
        <w:tc>
          <w:tcPr>
            <w:tcW w:w="1417"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firstLine="72"/>
              <w:jc w:val="center"/>
              <w:rPr>
                <w:vertAlign w:val="superscript"/>
              </w:rPr>
            </w:pPr>
            <w:r w:rsidRPr="00D24BED">
              <w:rPr>
                <w:vertAlign w:val="superscript"/>
              </w:rPr>
              <w:t>72,29</w:t>
            </w:r>
          </w:p>
        </w:tc>
      </w:tr>
      <w:tr w:rsidR="00B60AFD" w:rsidRPr="00D24BED" w:rsidTr="00BC1811">
        <w:tc>
          <w:tcPr>
            <w:tcW w:w="180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both"/>
              <w:rPr>
                <w:vertAlign w:val="superscript"/>
              </w:rPr>
            </w:pPr>
            <w:r w:rsidRPr="00D24BED">
              <w:rPr>
                <w:vertAlign w:val="superscript"/>
              </w:rPr>
              <w:t>Земельный налог</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535,00</w:t>
            </w:r>
          </w:p>
        </w:tc>
        <w:tc>
          <w:tcPr>
            <w:tcW w:w="1560"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507,00</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480,05</w:t>
            </w:r>
          </w:p>
        </w:tc>
        <w:tc>
          <w:tcPr>
            <w:tcW w:w="167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525,59</w:t>
            </w:r>
          </w:p>
        </w:tc>
        <w:tc>
          <w:tcPr>
            <w:tcW w:w="111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94,68</w:t>
            </w:r>
          </w:p>
        </w:tc>
        <w:tc>
          <w:tcPr>
            <w:tcW w:w="1417"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firstLine="72"/>
              <w:jc w:val="center"/>
              <w:rPr>
                <w:vertAlign w:val="superscript"/>
              </w:rPr>
            </w:pPr>
            <w:r w:rsidRPr="00D24BED">
              <w:rPr>
                <w:vertAlign w:val="superscript"/>
              </w:rPr>
              <w:t>91,34</w:t>
            </w:r>
          </w:p>
        </w:tc>
      </w:tr>
      <w:tr w:rsidR="00B60AFD" w:rsidRPr="00D24BED" w:rsidTr="00BC1811">
        <w:tc>
          <w:tcPr>
            <w:tcW w:w="180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both"/>
              <w:rPr>
                <w:vertAlign w:val="superscript"/>
              </w:rPr>
            </w:pPr>
            <w:r w:rsidRPr="00D24BED">
              <w:rPr>
                <w:vertAlign w:val="superscript"/>
              </w:rPr>
              <w:t>Доходы от использования имущества</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52,66</w:t>
            </w:r>
          </w:p>
        </w:tc>
        <w:tc>
          <w:tcPr>
            <w:tcW w:w="1560"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52,66</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52,66</w:t>
            </w:r>
          </w:p>
        </w:tc>
        <w:tc>
          <w:tcPr>
            <w:tcW w:w="167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52,66</w:t>
            </w:r>
          </w:p>
        </w:tc>
        <w:tc>
          <w:tcPr>
            <w:tcW w:w="111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jc w:val="center"/>
              <w:rPr>
                <w:vertAlign w:val="superscript"/>
              </w:rPr>
            </w:pPr>
            <w:r w:rsidRPr="00D24BED">
              <w:rPr>
                <w:vertAlign w:val="superscript"/>
              </w:rPr>
              <w:t>100</w:t>
            </w:r>
          </w:p>
        </w:tc>
        <w:tc>
          <w:tcPr>
            <w:tcW w:w="1417"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firstLine="72"/>
              <w:jc w:val="center"/>
              <w:rPr>
                <w:vertAlign w:val="superscript"/>
              </w:rPr>
            </w:pPr>
            <w:r w:rsidRPr="00D24BED">
              <w:rPr>
                <w:vertAlign w:val="superscript"/>
              </w:rPr>
              <w:t>100</w:t>
            </w:r>
          </w:p>
        </w:tc>
      </w:tr>
      <w:tr w:rsidR="00B60AFD" w:rsidRPr="00D24BED" w:rsidTr="00BC1811">
        <w:tc>
          <w:tcPr>
            <w:tcW w:w="180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both"/>
              <w:rPr>
                <w:vertAlign w:val="superscript"/>
              </w:rPr>
            </w:pPr>
            <w:r w:rsidRPr="00D24BED">
              <w:rPr>
                <w:vertAlign w:val="superscript"/>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250,00</w:t>
            </w:r>
          </w:p>
        </w:tc>
        <w:tc>
          <w:tcPr>
            <w:tcW w:w="1560"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0,55</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0,55</w:t>
            </w:r>
          </w:p>
        </w:tc>
        <w:tc>
          <w:tcPr>
            <w:tcW w:w="167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0</w:t>
            </w:r>
          </w:p>
        </w:tc>
        <w:tc>
          <w:tcPr>
            <w:tcW w:w="111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jc w:val="center"/>
              <w:rPr>
                <w:vertAlign w:val="superscript"/>
              </w:rPr>
            </w:pPr>
            <w:r w:rsidRPr="00D24BED">
              <w:rPr>
                <w:vertAlign w:val="superscript"/>
              </w:rPr>
              <w:t>100</w:t>
            </w:r>
          </w:p>
        </w:tc>
        <w:tc>
          <w:tcPr>
            <w:tcW w:w="1417"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firstLine="72"/>
              <w:jc w:val="center"/>
              <w:rPr>
                <w:vertAlign w:val="superscript"/>
              </w:rPr>
            </w:pPr>
            <w:r w:rsidRPr="00D24BED">
              <w:rPr>
                <w:vertAlign w:val="superscript"/>
              </w:rPr>
              <w:t>0</w:t>
            </w:r>
          </w:p>
        </w:tc>
      </w:tr>
      <w:tr w:rsidR="00B60AFD" w:rsidRPr="00D24BED" w:rsidTr="00BC1811">
        <w:tc>
          <w:tcPr>
            <w:tcW w:w="180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both"/>
              <w:rPr>
                <w:vertAlign w:val="superscript"/>
              </w:rPr>
            </w:pPr>
            <w:r w:rsidRPr="00D24BED">
              <w:rPr>
                <w:vertAlign w:val="superscript"/>
              </w:rPr>
              <w:t>ИТОГО собственные доходы</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1094,69</w:t>
            </w:r>
          </w:p>
        </w:tc>
        <w:tc>
          <w:tcPr>
            <w:tcW w:w="1560"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863,16</w:t>
            </w:r>
          </w:p>
        </w:tc>
        <w:tc>
          <w:tcPr>
            <w:tcW w:w="1559"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837,09</w:t>
            </w:r>
          </w:p>
        </w:tc>
        <w:tc>
          <w:tcPr>
            <w:tcW w:w="167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869,65</w:t>
            </w:r>
          </w:p>
        </w:tc>
        <w:tc>
          <w:tcPr>
            <w:tcW w:w="1118"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jc w:val="center"/>
              <w:rPr>
                <w:vertAlign w:val="superscript"/>
              </w:rPr>
            </w:pPr>
            <w:r w:rsidRPr="00D24BED">
              <w:rPr>
                <w:vertAlign w:val="superscript"/>
              </w:rPr>
              <w:t>96,98</w:t>
            </w:r>
          </w:p>
        </w:tc>
        <w:tc>
          <w:tcPr>
            <w:tcW w:w="1417" w:type="dxa"/>
            <w:tcBorders>
              <w:top w:val="single" w:sz="4" w:space="0" w:color="auto"/>
              <w:left w:val="single" w:sz="4" w:space="0" w:color="auto"/>
              <w:bottom w:val="single" w:sz="4" w:space="0" w:color="auto"/>
              <w:right w:val="single" w:sz="4" w:space="0" w:color="auto"/>
            </w:tcBorders>
          </w:tcPr>
          <w:p w:rsidR="00B60AFD" w:rsidRPr="00D24BED" w:rsidRDefault="00B60AFD" w:rsidP="00BC1811">
            <w:pPr>
              <w:ind w:right="-55" w:firstLine="72"/>
              <w:jc w:val="center"/>
              <w:rPr>
                <w:vertAlign w:val="superscript"/>
              </w:rPr>
            </w:pPr>
            <w:r w:rsidRPr="00D24BED">
              <w:rPr>
                <w:vertAlign w:val="superscript"/>
              </w:rPr>
              <w:t>103,89</w:t>
            </w:r>
          </w:p>
        </w:tc>
      </w:tr>
    </w:tbl>
    <w:p w:rsidR="00B60AFD" w:rsidRPr="00D24BED" w:rsidRDefault="00B60AFD" w:rsidP="00B60AFD">
      <w:pPr>
        <w:ind w:firstLine="708"/>
        <w:jc w:val="both"/>
      </w:pP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Бюджетные назначения в 2023 году по группе доходов «Налоговые и неналоговые доходы» в целом выполнено на 103,89 %, в разрезе подгрупп исполнение составило 93,71 % и 100 % соответственно.</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 xml:space="preserve">   Фактическое поступление налоговых доходов составило 837,09</w:t>
      </w:r>
      <w:r w:rsidRPr="00D24BED">
        <w:rPr>
          <w:rFonts w:ascii="Times New Roman" w:hAnsi="Times New Roman"/>
        </w:rPr>
        <w:t xml:space="preserve"> тыс. рублей</w:t>
      </w:r>
      <w:r w:rsidRPr="00D24BED">
        <w:rPr>
          <w:rFonts w:ascii="Times New Roman" w:hAnsi="Times New Roman"/>
          <w:sz w:val="24"/>
          <w:szCs w:val="24"/>
        </w:rPr>
        <w:t>.</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Основным источником дохода бюджета поселения являются земельный налог (удельный вес в структуре налоговых доходов составил 57,35 %), акцизы по подотчетным товарам (удельный вес в структуре налоговых доходов составил 26,65 %).</w:t>
      </w:r>
    </w:p>
    <w:p w:rsidR="00B60AFD" w:rsidRPr="00D24BED"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 xml:space="preserve">   План поступлений по неналоговым доходам выполнен на 100 %, фактическое поступление в бюджет поселения составило   52,66 тыс. рублей.</w:t>
      </w:r>
    </w:p>
    <w:p w:rsidR="00B60AFD" w:rsidRPr="00D871F7" w:rsidRDefault="00B60AFD" w:rsidP="00B60AFD">
      <w:pPr>
        <w:pStyle w:val="a3"/>
        <w:widowControl w:val="0"/>
        <w:autoSpaceDE w:val="0"/>
        <w:autoSpaceDN w:val="0"/>
        <w:adjustRightInd w:val="0"/>
        <w:ind w:left="0" w:right="-1"/>
        <w:jc w:val="both"/>
        <w:rPr>
          <w:rFonts w:ascii="Times New Roman" w:hAnsi="Times New Roman"/>
          <w:sz w:val="24"/>
          <w:szCs w:val="24"/>
        </w:rPr>
      </w:pPr>
      <w:r w:rsidRPr="00D24BED">
        <w:rPr>
          <w:rFonts w:ascii="Times New Roman" w:hAnsi="Times New Roman"/>
          <w:sz w:val="24"/>
          <w:szCs w:val="24"/>
        </w:rPr>
        <w:t xml:space="preserve"> В структуре доходов поселения доходы в виде безвозмездных поступлений из других бюджетов бюджетной системы РФ составляют 79,83  % в общем объеме поступлений</w:t>
      </w:r>
      <w:r w:rsidRPr="00D871F7">
        <w:rPr>
          <w:rFonts w:ascii="Times New Roman" w:hAnsi="Times New Roman"/>
          <w:sz w:val="24"/>
          <w:szCs w:val="24"/>
        </w:rPr>
        <w:t xml:space="preserve">. </w:t>
      </w:r>
      <w:r w:rsidRPr="00D871F7">
        <w:rPr>
          <w:rFonts w:ascii="Times New Roman" w:hAnsi="Times New Roman"/>
          <w:sz w:val="24"/>
          <w:szCs w:val="24"/>
        </w:rPr>
        <w:lastRenderedPageBreak/>
        <w:t xml:space="preserve">Плановые показатели исполнены на 100,00%. </w:t>
      </w:r>
    </w:p>
    <w:p w:rsidR="00B60AFD" w:rsidRPr="00D871F7" w:rsidRDefault="00B60AFD" w:rsidP="00B60AFD">
      <w:pPr>
        <w:pStyle w:val="a3"/>
        <w:widowControl w:val="0"/>
        <w:autoSpaceDE w:val="0"/>
        <w:autoSpaceDN w:val="0"/>
        <w:adjustRightInd w:val="0"/>
        <w:ind w:left="0" w:right="-1"/>
        <w:jc w:val="both"/>
        <w:rPr>
          <w:rFonts w:ascii="Times New Roman" w:hAnsi="Times New Roman"/>
          <w:sz w:val="24"/>
          <w:szCs w:val="24"/>
        </w:rPr>
      </w:pPr>
      <w:r w:rsidRPr="00D871F7">
        <w:rPr>
          <w:rFonts w:ascii="Times New Roman" w:hAnsi="Times New Roman"/>
          <w:sz w:val="24"/>
          <w:szCs w:val="24"/>
        </w:rPr>
        <w:t xml:space="preserve">  Причины перевыполнения (неисполнения) плана по отдельным видам доходов отражены в Таблице 4:</w:t>
      </w:r>
    </w:p>
    <w:p w:rsidR="00B60AFD" w:rsidRPr="00D871F7" w:rsidRDefault="00B60AFD" w:rsidP="00B60AFD">
      <w:pPr>
        <w:pStyle w:val="a3"/>
        <w:widowControl w:val="0"/>
        <w:autoSpaceDE w:val="0"/>
        <w:autoSpaceDN w:val="0"/>
        <w:adjustRightInd w:val="0"/>
        <w:ind w:left="927" w:right="-1"/>
        <w:jc w:val="both"/>
        <w:rPr>
          <w:rFonts w:ascii="Times New Roman" w:hAnsi="Times New Roman"/>
          <w:sz w:val="24"/>
          <w:szCs w:val="24"/>
        </w:rPr>
      </w:pPr>
      <w:r w:rsidRPr="00D871F7">
        <w:rPr>
          <w:rFonts w:ascii="Times New Roman" w:hAnsi="Times New Roman"/>
          <w:sz w:val="24"/>
          <w:szCs w:val="24"/>
        </w:rPr>
        <w:t>Таблица 4</w:t>
      </w:r>
    </w:p>
    <w:tbl>
      <w:tblPr>
        <w:tblStyle w:val="ad"/>
        <w:tblW w:w="0" w:type="auto"/>
        <w:tblInd w:w="927" w:type="dxa"/>
        <w:tblLook w:val="04A0"/>
      </w:tblPr>
      <w:tblGrid>
        <w:gridCol w:w="1820"/>
        <w:gridCol w:w="1724"/>
        <w:gridCol w:w="1674"/>
        <w:gridCol w:w="1680"/>
        <w:gridCol w:w="1807"/>
      </w:tblGrid>
      <w:tr w:rsidR="00B60AFD" w:rsidRPr="00753294" w:rsidTr="00BC1811">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sidRPr="00D871F7">
              <w:rPr>
                <w:rFonts w:ascii="Times New Roman" w:hAnsi="Times New Roman"/>
                <w:sz w:val="24"/>
                <w:szCs w:val="24"/>
                <w:vertAlign w:val="superscript"/>
              </w:rPr>
              <w:t>Наименование дохода</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sidRPr="00D871F7">
              <w:rPr>
                <w:rFonts w:ascii="Times New Roman" w:hAnsi="Times New Roman"/>
                <w:sz w:val="24"/>
                <w:szCs w:val="24"/>
                <w:vertAlign w:val="superscript"/>
              </w:rPr>
              <w:t>Уточненный план, тыс</w:t>
            </w:r>
            <w:proofErr w:type="gramStart"/>
            <w:r w:rsidRPr="00D871F7">
              <w:rPr>
                <w:rFonts w:ascii="Times New Roman" w:hAnsi="Times New Roman"/>
                <w:sz w:val="24"/>
                <w:szCs w:val="24"/>
                <w:vertAlign w:val="superscript"/>
              </w:rPr>
              <w:t>.р</w:t>
            </w:r>
            <w:proofErr w:type="gramEnd"/>
            <w:r w:rsidRPr="00D871F7">
              <w:rPr>
                <w:rFonts w:ascii="Times New Roman" w:hAnsi="Times New Roman"/>
                <w:sz w:val="24"/>
                <w:szCs w:val="24"/>
                <w:vertAlign w:val="superscript"/>
              </w:rPr>
              <w:t>ублей</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sidRPr="00D871F7">
              <w:rPr>
                <w:rFonts w:ascii="Times New Roman" w:hAnsi="Times New Roman"/>
                <w:sz w:val="24"/>
                <w:szCs w:val="24"/>
                <w:vertAlign w:val="superscript"/>
              </w:rPr>
              <w:t>Исполнено, рублей</w:t>
            </w:r>
          </w:p>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sidRPr="00D871F7">
              <w:rPr>
                <w:rFonts w:ascii="Times New Roman" w:hAnsi="Times New Roman"/>
                <w:sz w:val="24"/>
                <w:szCs w:val="24"/>
                <w:vertAlign w:val="superscript"/>
              </w:rPr>
              <w:t xml:space="preserve"> тыс</w:t>
            </w:r>
            <w:proofErr w:type="gramStart"/>
            <w:r w:rsidRPr="00D871F7">
              <w:rPr>
                <w:rFonts w:ascii="Times New Roman" w:hAnsi="Times New Roman"/>
                <w:sz w:val="24"/>
                <w:szCs w:val="24"/>
                <w:vertAlign w:val="superscript"/>
              </w:rPr>
              <w:t>.р</w:t>
            </w:r>
            <w:proofErr w:type="gramEnd"/>
            <w:r w:rsidRPr="00D871F7">
              <w:rPr>
                <w:rFonts w:ascii="Times New Roman" w:hAnsi="Times New Roman"/>
                <w:sz w:val="24"/>
                <w:szCs w:val="24"/>
                <w:vertAlign w:val="superscript"/>
              </w:rPr>
              <w:t>ублей</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sidRPr="00D871F7">
              <w:rPr>
                <w:rFonts w:ascii="Times New Roman" w:hAnsi="Times New Roman"/>
                <w:sz w:val="24"/>
                <w:szCs w:val="24"/>
                <w:vertAlign w:val="superscript"/>
              </w:rPr>
              <w:t>Процент  исполнения, %</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sidRPr="00D871F7">
              <w:rPr>
                <w:rFonts w:ascii="Times New Roman" w:hAnsi="Times New Roman"/>
                <w:sz w:val="24"/>
                <w:szCs w:val="24"/>
                <w:vertAlign w:val="superscript"/>
              </w:rPr>
              <w:t>Причины.</w:t>
            </w:r>
          </w:p>
        </w:tc>
      </w:tr>
      <w:tr w:rsidR="00B60AFD" w:rsidRPr="00753294" w:rsidTr="00BC1811">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f"/>
              <w:rPr>
                <w:vertAlign w:val="superscript"/>
              </w:rPr>
            </w:pPr>
            <w:r w:rsidRPr="00D871F7">
              <w:rPr>
                <w:vertAlign w:val="superscript"/>
              </w:rPr>
              <w:t xml:space="preserve">Налоги на товары </w:t>
            </w:r>
            <w:proofErr w:type="gramStart"/>
            <w:r w:rsidRPr="00D871F7">
              <w:rPr>
                <w:vertAlign w:val="superscript"/>
              </w:rPr>
              <w:t xml:space="preserve">( </w:t>
            </w:r>
            <w:proofErr w:type="gramEnd"/>
            <w:r w:rsidRPr="00D871F7">
              <w:rPr>
                <w:vertAlign w:val="superscript"/>
              </w:rPr>
              <w:t>работы, услуги) реализуемые на территории РФ</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Pr>
                <w:rFonts w:ascii="Times New Roman" w:hAnsi="Times New Roman"/>
                <w:sz w:val="24"/>
                <w:szCs w:val="24"/>
                <w:vertAlign w:val="superscript"/>
              </w:rPr>
              <w:t>221,10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Pr>
                <w:rFonts w:ascii="Times New Roman" w:hAnsi="Times New Roman"/>
                <w:sz w:val="24"/>
                <w:szCs w:val="24"/>
                <w:vertAlign w:val="superscript"/>
              </w:rPr>
              <w:t>223,05</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Pr>
                <w:rFonts w:ascii="Times New Roman" w:hAnsi="Times New Roman"/>
                <w:sz w:val="24"/>
                <w:szCs w:val="24"/>
                <w:vertAlign w:val="superscript"/>
              </w:rPr>
              <w:t>100,88</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f"/>
              <w:rPr>
                <w:vertAlign w:val="superscript"/>
              </w:rPr>
            </w:pPr>
            <w:r w:rsidRPr="00D871F7">
              <w:rPr>
                <w:vertAlign w:val="superscript"/>
              </w:rPr>
              <w:t>Акцизы поступили больше плана</w:t>
            </w:r>
          </w:p>
          <w:p w:rsidR="00B60AFD" w:rsidRPr="00D871F7" w:rsidRDefault="00B60AFD" w:rsidP="00BC1811">
            <w:pPr>
              <w:pStyle w:val="af"/>
              <w:rPr>
                <w:sz w:val="16"/>
                <w:szCs w:val="16"/>
                <w:vertAlign w:val="superscript"/>
              </w:rPr>
            </w:pPr>
            <w:r w:rsidRPr="00D871F7">
              <w:rPr>
                <w:sz w:val="16"/>
                <w:szCs w:val="16"/>
              </w:rPr>
              <w:t>Плановые показатели устанавливает  ГАДБ</w:t>
            </w:r>
          </w:p>
        </w:tc>
      </w:tr>
      <w:tr w:rsidR="00B60AFD" w:rsidRPr="00753294" w:rsidTr="00BC1811">
        <w:trPr>
          <w:trHeight w:val="1189"/>
        </w:trPr>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f"/>
              <w:rPr>
                <w:vertAlign w:val="superscript"/>
              </w:rPr>
            </w:pPr>
            <w:r w:rsidRPr="00D871F7">
              <w:rPr>
                <w:vertAlign w:val="superscript"/>
              </w:rPr>
              <w:t>Земельный налог</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Pr>
                <w:rFonts w:ascii="Times New Roman" w:hAnsi="Times New Roman"/>
                <w:sz w:val="24"/>
                <w:szCs w:val="24"/>
                <w:vertAlign w:val="superscript"/>
              </w:rPr>
              <w:t>490,00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Pr>
                <w:rFonts w:ascii="Times New Roman" w:hAnsi="Times New Roman"/>
                <w:sz w:val="24"/>
                <w:szCs w:val="24"/>
                <w:vertAlign w:val="superscript"/>
              </w:rPr>
              <w:t>463,13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Pr>
                <w:rFonts w:ascii="Times New Roman" w:hAnsi="Times New Roman"/>
                <w:sz w:val="24"/>
                <w:szCs w:val="24"/>
                <w:vertAlign w:val="superscript"/>
              </w:rPr>
              <w:t>94,52</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f"/>
              <w:rPr>
                <w:vertAlign w:val="superscript"/>
              </w:rPr>
            </w:pPr>
            <w:r>
              <w:rPr>
                <w:vertAlign w:val="superscript"/>
              </w:rPr>
              <w:t xml:space="preserve">Невыполнение за счет неуплаты </w:t>
            </w:r>
            <w:r w:rsidRPr="00D871F7">
              <w:rPr>
                <w:vertAlign w:val="superscript"/>
              </w:rPr>
              <w:t>задолженности за предыдущий год</w:t>
            </w:r>
          </w:p>
        </w:tc>
      </w:tr>
      <w:tr w:rsidR="00B60AFD" w:rsidRPr="00753294" w:rsidTr="00BC1811">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f"/>
              <w:rPr>
                <w:vertAlign w:val="superscript"/>
              </w:rPr>
            </w:pPr>
            <w:r w:rsidRPr="00D871F7">
              <w:rPr>
                <w:vertAlign w:val="superscript"/>
              </w:rPr>
              <w:t>Налог на доходы физических лиц</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Pr>
                <w:rFonts w:ascii="Times New Roman" w:hAnsi="Times New Roman"/>
                <w:sz w:val="24"/>
                <w:szCs w:val="24"/>
                <w:vertAlign w:val="superscript"/>
              </w:rPr>
              <w:t>71,85</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Pr>
                <w:rFonts w:ascii="Times New Roman" w:hAnsi="Times New Roman"/>
                <w:sz w:val="24"/>
                <w:szCs w:val="24"/>
                <w:vertAlign w:val="superscript"/>
              </w:rPr>
              <w:t>71,83</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Pr>
                <w:rFonts w:ascii="Times New Roman" w:hAnsi="Times New Roman"/>
                <w:sz w:val="24"/>
                <w:szCs w:val="24"/>
                <w:vertAlign w:val="superscript"/>
              </w:rPr>
              <w:t>99,97</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f"/>
              <w:rPr>
                <w:vertAlign w:val="superscript"/>
              </w:rPr>
            </w:pPr>
            <w:r>
              <w:rPr>
                <w:vertAlign w:val="superscript"/>
              </w:rPr>
              <w:t>Не</w:t>
            </w:r>
            <w:r w:rsidRPr="00D871F7">
              <w:rPr>
                <w:vertAlign w:val="superscript"/>
              </w:rPr>
              <w:t xml:space="preserve">выполнение за счет </w:t>
            </w:r>
            <w:proofErr w:type="gramStart"/>
            <w:r>
              <w:rPr>
                <w:vertAlign w:val="superscript"/>
              </w:rPr>
              <w:t>не уплаты</w:t>
            </w:r>
            <w:proofErr w:type="gramEnd"/>
            <w:r>
              <w:rPr>
                <w:vertAlign w:val="superscript"/>
              </w:rPr>
              <w:t xml:space="preserve"> налога на прибыль с   земель сельскохозяйственного назначения</w:t>
            </w:r>
          </w:p>
        </w:tc>
      </w:tr>
      <w:tr w:rsidR="00B60AFD" w:rsidTr="00BC1811">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f"/>
              <w:rPr>
                <w:vertAlign w:val="superscript"/>
              </w:rPr>
            </w:pPr>
            <w:r w:rsidRPr="00D871F7">
              <w:rPr>
                <w:vertAlign w:val="superscript"/>
              </w:rPr>
              <w:t>Налог на имущество физических лиц</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Pr>
                <w:rFonts w:ascii="Times New Roman" w:hAnsi="Times New Roman"/>
                <w:sz w:val="24"/>
                <w:szCs w:val="24"/>
                <w:vertAlign w:val="superscript"/>
              </w:rPr>
              <w:t>10,00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Pr>
                <w:rFonts w:ascii="Times New Roman" w:hAnsi="Times New Roman"/>
                <w:sz w:val="24"/>
                <w:szCs w:val="24"/>
                <w:vertAlign w:val="superscript"/>
              </w:rPr>
              <w:t>8,95</w:t>
            </w:r>
          </w:p>
        </w:tc>
        <w:tc>
          <w:tcPr>
            <w:tcW w:w="1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3"/>
              <w:widowControl w:val="0"/>
              <w:autoSpaceDE w:val="0"/>
              <w:autoSpaceDN w:val="0"/>
              <w:adjustRightInd w:val="0"/>
              <w:ind w:left="0" w:right="-1"/>
              <w:jc w:val="both"/>
              <w:rPr>
                <w:rFonts w:ascii="Times New Roman" w:hAnsi="Times New Roman"/>
                <w:sz w:val="24"/>
                <w:szCs w:val="24"/>
                <w:vertAlign w:val="superscript"/>
              </w:rPr>
            </w:pPr>
            <w:r>
              <w:rPr>
                <w:rFonts w:ascii="Times New Roman" w:hAnsi="Times New Roman"/>
                <w:sz w:val="24"/>
                <w:szCs w:val="24"/>
                <w:vertAlign w:val="superscript"/>
              </w:rPr>
              <w:t>89,5</w:t>
            </w:r>
          </w:p>
        </w:tc>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AFD" w:rsidRPr="00D871F7" w:rsidRDefault="00B60AFD" w:rsidP="00BC1811">
            <w:pPr>
              <w:pStyle w:val="af"/>
              <w:rPr>
                <w:vertAlign w:val="superscript"/>
              </w:rPr>
            </w:pPr>
            <w:r w:rsidRPr="00D871F7">
              <w:rPr>
                <w:vertAlign w:val="superscript"/>
              </w:rPr>
              <w:t>Переход расчета налога по кадастровой стоимости</w:t>
            </w:r>
          </w:p>
        </w:tc>
      </w:tr>
    </w:tbl>
    <w:p w:rsidR="00B60AFD" w:rsidRDefault="00B60AFD" w:rsidP="00B60AFD">
      <w:pPr>
        <w:widowControl w:val="0"/>
        <w:autoSpaceDE w:val="0"/>
        <w:autoSpaceDN w:val="0"/>
        <w:adjustRightInd w:val="0"/>
        <w:ind w:right="-1"/>
        <w:jc w:val="center"/>
        <w:rPr>
          <w:b/>
        </w:rPr>
      </w:pPr>
    </w:p>
    <w:p w:rsidR="00B60AFD" w:rsidRPr="00D24BED" w:rsidRDefault="00B60AFD" w:rsidP="00B60AFD">
      <w:pPr>
        <w:widowControl w:val="0"/>
        <w:autoSpaceDE w:val="0"/>
        <w:autoSpaceDN w:val="0"/>
        <w:adjustRightInd w:val="0"/>
        <w:ind w:right="-1"/>
        <w:jc w:val="center"/>
        <w:rPr>
          <w:b/>
        </w:rPr>
      </w:pPr>
      <w:r w:rsidRPr="00D24BED">
        <w:rPr>
          <w:b/>
        </w:rPr>
        <w:t>5.Исполнение расходной части бюджета поселения за 2023 год.</w:t>
      </w:r>
    </w:p>
    <w:p w:rsidR="00B60AFD" w:rsidRPr="00D24BED" w:rsidRDefault="00B60AFD" w:rsidP="00B60AFD">
      <w:pPr>
        <w:widowControl w:val="0"/>
        <w:autoSpaceDE w:val="0"/>
        <w:autoSpaceDN w:val="0"/>
        <w:adjustRightInd w:val="0"/>
        <w:ind w:right="-1"/>
        <w:jc w:val="both"/>
      </w:pPr>
      <w:r w:rsidRPr="00D24BED">
        <w:t xml:space="preserve">Решением Совета депутатов </w:t>
      </w:r>
      <w:proofErr w:type="spellStart"/>
      <w:r w:rsidRPr="00D24BED">
        <w:t>Каскатского</w:t>
      </w:r>
      <w:proofErr w:type="spellEnd"/>
      <w:r w:rsidRPr="00D24BED">
        <w:t xml:space="preserve"> сельского поселения от 23.12.2022 № 43 «О бюджете </w:t>
      </w:r>
      <w:proofErr w:type="spellStart"/>
      <w:r w:rsidRPr="00D24BED">
        <w:t>Каскатского</w:t>
      </w:r>
      <w:proofErr w:type="spellEnd"/>
      <w:r w:rsidRPr="00D24BED">
        <w:t xml:space="preserve"> сельского поселения на 2023 год и на плановый период 2024 и 2025 годов» бюджет по расходам первоначально утвержден в сумме 2 710,33 тыс. рублей.</w:t>
      </w:r>
    </w:p>
    <w:p w:rsidR="00B60AFD" w:rsidRPr="00D24BED" w:rsidRDefault="00B60AFD" w:rsidP="00B60AFD">
      <w:pPr>
        <w:widowControl w:val="0"/>
        <w:autoSpaceDE w:val="0"/>
        <w:autoSpaceDN w:val="0"/>
        <w:adjustRightInd w:val="0"/>
        <w:ind w:right="-1"/>
        <w:jc w:val="both"/>
      </w:pPr>
      <w:r w:rsidRPr="00D24BED">
        <w:t xml:space="preserve"> С учетом внесенных изменений и дополнений в решение Совета депутатов от 21.12.2023 г. № 57 расходы бюджета составили 4 292,80 тыс. рублей (расходы увеличены на 1 543,84 тыс.  рублей или на 35,96 %).</w:t>
      </w:r>
    </w:p>
    <w:p w:rsidR="00B60AFD" w:rsidRPr="00D24BED" w:rsidRDefault="00B60AFD" w:rsidP="00B60AFD">
      <w:pPr>
        <w:widowControl w:val="0"/>
        <w:autoSpaceDE w:val="0"/>
        <w:autoSpaceDN w:val="0"/>
        <w:adjustRightInd w:val="0"/>
        <w:ind w:right="-1"/>
        <w:jc w:val="both"/>
      </w:pPr>
      <w:r w:rsidRPr="00D24BED">
        <w:t>Исполнение расходов бюджета поселения согласно отчету об исполнении бюджета                       (ф.0503117 «Отчет об исполнении бюджета») на 01.01.2024 года составило 4 254,17 тыс. рублей  или 99,10 % уточненного плана.</w:t>
      </w:r>
    </w:p>
    <w:p w:rsidR="00B60AFD" w:rsidRPr="00D24BED" w:rsidRDefault="00B60AFD" w:rsidP="00B60AFD">
      <w:pPr>
        <w:widowControl w:val="0"/>
        <w:autoSpaceDE w:val="0"/>
        <w:autoSpaceDN w:val="0"/>
        <w:adjustRightInd w:val="0"/>
        <w:ind w:right="-1"/>
        <w:jc w:val="both"/>
      </w:pPr>
      <w:r w:rsidRPr="00D24BED">
        <w:t>Исполнение расходной части бюджета поселения за 2023 год характеризуется следующими показателями:</w:t>
      </w:r>
    </w:p>
    <w:p w:rsidR="00B60AFD" w:rsidRPr="00D24BED" w:rsidRDefault="00B60AFD" w:rsidP="00B60AFD">
      <w:pPr>
        <w:widowControl w:val="0"/>
        <w:autoSpaceDE w:val="0"/>
        <w:autoSpaceDN w:val="0"/>
        <w:adjustRightInd w:val="0"/>
        <w:ind w:right="-1"/>
        <w:jc w:val="both"/>
        <w:rPr>
          <w:vertAlign w:val="superscript"/>
        </w:rPr>
      </w:pPr>
      <w:r w:rsidRPr="00D24BED">
        <w:rPr>
          <w:vertAlign w:val="superscript"/>
        </w:rPr>
        <w:t>Таблица 5</w:t>
      </w:r>
    </w:p>
    <w:tbl>
      <w:tblPr>
        <w:tblStyle w:val="ad"/>
        <w:tblW w:w="0" w:type="auto"/>
        <w:tblLook w:val="04A0"/>
      </w:tblPr>
      <w:tblGrid>
        <w:gridCol w:w="3510"/>
        <w:gridCol w:w="1384"/>
        <w:gridCol w:w="1310"/>
        <w:gridCol w:w="1235"/>
        <w:gridCol w:w="1086"/>
      </w:tblGrid>
      <w:tr w:rsidR="00B60AFD" w:rsidRPr="00D24BED" w:rsidTr="00BC1811">
        <w:trPr>
          <w:trHeight w:val="1558"/>
        </w:trPr>
        <w:tc>
          <w:tcPr>
            <w:tcW w:w="3510" w:type="dxa"/>
          </w:tcPr>
          <w:p w:rsidR="00B60AFD" w:rsidRPr="00D24BED" w:rsidRDefault="00B60AFD" w:rsidP="00BC1811">
            <w:pPr>
              <w:pStyle w:val="af"/>
              <w:rPr>
                <w:vertAlign w:val="superscript"/>
              </w:rPr>
            </w:pPr>
            <w:r w:rsidRPr="00D24BED">
              <w:rPr>
                <w:vertAlign w:val="superscript"/>
              </w:rPr>
              <w:t>Наименование раздела</w:t>
            </w:r>
          </w:p>
        </w:tc>
        <w:tc>
          <w:tcPr>
            <w:tcW w:w="1384" w:type="dxa"/>
          </w:tcPr>
          <w:p w:rsidR="00B60AFD" w:rsidRPr="00D24BED" w:rsidRDefault="00B60AFD" w:rsidP="00BC1811">
            <w:pPr>
              <w:pStyle w:val="af"/>
              <w:rPr>
                <w:vertAlign w:val="superscript"/>
              </w:rPr>
            </w:pPr>
            <w:r w:rsidRPr="00D24BED">
              <w:rPr>
                <w:vertAlign w:val="superscript"/>
              </w:rPr>
              <w:t>Утверждено Решением о бюджете на 2023год (в редакции от 21.12.2023 №57), тыс</w:t>
            </w:r>
            <w:proofErr w:type="gramStart"/>
            <w:r w:rsidRPr="00D24BED">
              <w:rPr>
                <w:vertAlign w:val="superscript"/>
              </w:rPr>
              <w:t>.р</w:t>
            </w:r>
            <w:proofErr w:type="gramEnd"/>
            <w:r w:rsidRPr="00D24BED">
              <w:rPr>
                <w:vertAlign w:val="superscript"/>
              </w:rPr>
              <w:t>ублей</w:t>
            </w:r>
          </w:p>
        </w:tc>
        <w:tc>
          <w:tcPr>
            <w:tcW w:w="1310" w:type="dxa"/>
          </w:tcPr>
          <w:p w:rsidR="00B60AFD" w:rsidRPr="00D24BED" w:rsidRDefault="00B60AFD" w:rsidP="00BC1811">
            <w:pPr>
              <w:pStyle w:val="af"/>
              <w:rPr>
                <w:vertAlign w:val="superscript"/>
              </w:rPr>
            </w:pPr>
            <w:r w:rsidRPr="00D24BED">
              <w:rPr>
                <w:vertAlign w:val="superscript"/>
              </w:rPr>
              <w:t xml:space="preserve">Исполнено, Проект решения об исполнении бюджета за 2023год </w:t>
            </w:r>
          </w:p>
        </w:tc>
        <w:tc>
          <w:tcPr>
            <w:tcW w:w="1235" w:type="dxa"/>
          </w:tcPr>
          <w:p w:rsidR="00B60AFD" w:rsidRPr="00D24BED" w:rsidRDefault="00B60AFD" w:rsidP="00BC1811">
            <w:pPr>
              <w:pStyle w:val="af"/>
              <w:rPr>
                <w:vertAlign w:val="superscript"/>
              </w:rPr>
            </w:pPr>
            <w:r w:rsidRPr="00D24BED">
              <w:rPr>
                <w:vertAlign w:val="superscript"/>
              </w:rPr>
              <w:t>Удельный вес, в общем объеме расходов, %</w:t>
            </w:r>
          </w:p>
        </w:tc>
        <w:tc>
          <w:tcPr>
            <w:tcW w:w="1086" w:type="dxa"/>
          </w:tcPr>
          <w:p w:rsidR="00B60AFD" w:rsidRPr="00D24BED" w:rsidRDefault="00B60AFD" w:rsidP="00BC1811">
            <w:pPr>
              <w:pStyle w:val="af"/>
              <w:rPr>
                <w:vertAlign w:val="superscript"/>
              </w:rPr>
            </w:pPr>
            <w:r w:rsidRPr="00D24BED">
              <w:rPr>
                <w:vertAlign w:val="superscript"/>
              </w:rPr>
              <w:t>Процент исполнения</w:t>
            </w:r>
            <w:proofErr w:type="gramStart"/>
            <w:r w:rsidRPr="00D24BED">
              <w:rPr>
                <w:vertAlign w:val="superscript"/>
              </w:rPr>
              <w:t xml:space="preserve"> ,</w:t>
            </w:r>
            <w:proofErr w:type="gramEnd"/>
            <w:r w:rsidRPr="00D24BED">
              <w:rPr>
                <w:vertAlign w:val="superscript"/>
              </w:rPr>
              <w:t xml:space="preserve"> %</w:t>
            </w:r>
          </w:p>
        </w:tc>
      </w:tr>
      <w:tr w:rsidR="00B60AFD" w:rsidRPr="00D24BED" w:rsidTr="00BC1811">
        <w:tc>
          <w:tcPr>
            <w:tcW w:w="35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01 00</w:t>
            </w:r>
          </w:p>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 xml:space="preserve">Общегосударственные вопросы </w:t>
            </w:r>
          </w:p>
        </w:tc>
        <w:tc>
          <w:tcPr>
            <w:tcW w:w="1384"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2694,32</w:t>
            </w:r>
          </w:p>
        </w:tc>
        <w:tc>
          <w:tcPr>
            <w:tcW w:w="13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2 692,22</w:t>
            </w:r>
          </w:p>
        </w:tc>
        <w:tc>
          <w:tcPr>
            <w:tcW w:w="1235"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63,28</w:t>
            </w:r>
          </w:p>
        </w:tc>
        <w:tc>
          <w:tcPr>
            <w:tcW w:w="1086"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99,92</w:t>
            </w:r>
          </w:p>
        </w:tc>
      </w:tr>
      <w:tr w:rsidR="00B60AFD" w:rsidRPr="00D24BED" w:rsidTr="00BC1811">
        <w:tc>
          <w:tcPr>
            <w:tcW w:w="35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02 00</w:t>
            </w:r>
          </w:p>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Национальная оборона</w:t>
            </w:r>
          </w:p>
        </w:tc>
        <w:tc>
          <w:tcPr>
            <w:tcW w:w="1384"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70,93</w:t>
            </w:r>
          </w:p>
        </w:tc>
        <w:tc>
          <w:tcPr>
            <w:tcW w:w="13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70,93</w:t>
            </w:r>
          </w:p>
        </w:tc>
        <w:tc>
          <w:tcPr>
            <w:tcW w:w="1235"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1,68</w:t>
            </w:r>
          </w:p>
        </w:tc>
        <w:tc>
          <w:tcPr>
            <w:tcW w:w="1086" w:type="dxa"/>
          </w:tcPr>
          <w:p w:rsidR="00B60AFD" w:rsidRPr="00D24BED" w:rsidRDefault="00B60AFD" w:rsidP="00BC1811">
            <w:pPr>
              <w:jc w:val="both"/>
              <w:rPr>
                <w:vertAlign w:val="superscript"/>
              </w:rPr>
            </w:pPr>
            <w:r w:rsidRPr="00D24BED">
              <w:rPr>
                <w:vertAlign w:val="superscript"/>
              </w:rPr>
              <w:t>100,00</w:t>
            </w:r>
          </w:p>
        </w:tc>
      </w:tr>
      <w:tr w:rsidR="00B60AFD" w:rsidRPr="00D24BED" w:rsidTr="00BC1811">
        <w:tc>
          <w:tcPr>
            <w:tcW w:w="35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03 00</w:t>
            </w:r>
          </w:p>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Национальная безопасность</w:t>
            </w:r>
          </w:p>
        </w:tc>
        <w:tc>
          <w:tcPr>
            <w:tcW w:w="1384"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15,90</w:t>
            </w:r>
          </w:p>
        </w:tc>
        <w:tc>
          <w:tcPr>
            <w:tcW w:w="13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15,90</w:t>
            </w:r>
          </w:p>
        </w:tc>
        <w:tc>
          <w:tcPr>
            <w:tcW w:w="1235"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0,37</w:t>
            </w:r>
          </w:p>
        </w:tc>
        <w:tc>
          <w:tcPr>
            <w:tcW w:w="1086"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100,00</w:t>
            </w:r>
          </w:p>
        </w:tc>
      </w:tr>
      <w:tr w:rsidR="00B60AFD" w:rsidRPr="00D24BED" w:rsidTr="00BC1811">
        <w:tc>
          <w:tcPr>
            <w:tcW w:w="35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04 00</w:t>
            </w:r>
          </w:p>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Национальная экономика</w:t>
            </w:r>
          </w:p>
        </w:tc>
        <w:tc>
          <w:tcPr>
            <w:tcW w:w="1384"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866,83</w:t>
            </w:r>
          </w:p>
        </w:tc>
        <w:tc>
          <w:tcPr>
            <w:tcW w:w="13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830,30</w:t>
            </w:r>
          </w:p>
        </w:tc>
        <w:tc>
          <w:tcPr>
            <w:tcW w:w="1235"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19,52</w:t>
            </w:r>
          </w:p>
        </w:tc>
        <w:tc>
          <w:tcPr>
            <w:tcW w:w="1086"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98,79</w:t>
            </w:r>
          </w:p>
        </w:tc>
      </w:tr>
      <w:tr w:rsidR="00B60AFD" w:rsidRPr="00D24BED" w:rsidTr="00BC1811">
        <w:tc>
          <w:tcPr>
            <w:tcW w:w="35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05 00</w:t>
            </w:r>
          </w:p>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lastRenderedPageBreak/>
              <w:t>Жилищно-коммунальное хозяйство</w:t>
            </w:r>
          </w:p>
        </w:tc>
        <w:tc>
          <w:tcPr>
            <w:tcW w:w="1384"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lastRenderedPageBreak/>
              <w:t>426,21</w:t>
            </w:r>
          </w:p>
        </w:tc>
        <w:tc>
          <w:tcPr>
            <w:tcW w:w="13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426,21</w:t>
            </w:r>
          </w:p>
        </w:tc>
        <w:tc>
          <w:tcPr>
            <w:tcW w:w="1235"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10,02</w:t>
            </w:r>
          </w:p>
        </w:tc>
        <w:tc>
          <w:tcPr>
            <w:tcW w:w="1086"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100</w:t>
            </w:r>
          </w:p>
        </w:tc>
      </w:tr>
      <w:tr w:rsidR="00B60AFD" w:rsidRPr="00D24BED" w:rsidTr="00BC1811">
        <w:tc>
          <w:tcPr>
            <w:tcW w:w="35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lastRenderedPageBreak/>
              <w:t xml:space="preserve">07 00 </w:t>
            </w:r>
          </w:p>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Образование</w:t>
            </w:r>
          </w:p>
        </w:tc>
        <w:tc>
          <w:tcPr>
            <w:tcW w:w="1384"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4,96</w:t>
            </w:r>
          </w:p>
        </w:tc>
        <w:tc>
          <w:tcPr>
            <w:tcW w:w="1310" w:type="dxa"/>
          </w:tcPr>
          <w:p w:rsidR="00B60AFD" w:rsidRPr="00D24BED" w:rsidRDefault="00B60AFD" w:rsidP="00BC1811">
            <w:pPr>
              <w:widowControl w:val="0"/>
              <w:tabs>
                <w:tab w:val="left" w:pos="673"/>
              </w:tabs>
              <w:autoSpaceDE w:val="0"/>
              <w:autoSpaceDN w:val="0"/>
              <w:adjustRightInd w:val="0"/>
              <w:ind w:right="-1"/>
              <w:jc w:val="both"/>
              <w:rPr>
                <w:vertAlign w:val="superscript"/>
              </w:rPr>
            </w:pPr>
            <w:r w:rsidRPr="00D24BED">
              <w:rPr>
                <w:vertAlign w:val="superscript"/>
              </w:rPr>
              <w:t>4,96</w:t>
            </w:r>
          </w:p>
        </w:tc>
        <w:tc>
          <w:tcPr>
            <w:tcW w:w="1235"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0,12</w:t>
            </w:r>
          </w:p>
        </w:tc>
        <w:tc>
          <w:tcPr>
            <w:tcW w:w="1086"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100,00</w:t>
            </w:r>
          </w:p>
        </w:tc>
      </w:tr>
      <w:tr w:rsidR="00B60AFD" w:rsidRPr="00D24BED" w:rsidTr="00BC1811">
        <w:tc>
          <w:tcPr>
            <w:tcW w:w="35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08 00</w:t>
            </w:r>
          </w:p>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Культура, кинематография</w:t>
            </w:r>
          </w:p>
        </w:tc>
        <w:tc>
          <w:tcPr>
            <w:tcW w:w="1384"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123,21</w:t>
            </w:r>
          </w:p>
        </w:tc>
        <w:tc>
          <w:tcPr>
            <w:tcW w:w="13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123,21</w:t>
            </w:r>
          </w:p>
        </w:tc>
        <w:tc>
          <w:tcPr>
            <w:tcW w:w="1235"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2,89</w:t>
            </w:r>
          </w:p>
        </w:tc>
        <w:tc>
          <w:tcPr>
            <w:tcW w:w="1086" w:type="dxa"/>
          </w:tcPr>
          <w:p w:rsidR="00B60AFD" w:rsidRPr="00D24BED" w:rsidRDefault="00B60AFD" w:rsidP="00BC1811">
            <w:pPr>
              <w:jc w:val="both"/>
              <w:rPr>
                <w:vertAlign w:val="superscript"/>
              </w:rPr>
            </w:pPr>
            <w:r w:rsidRPr="00D24BED">
              <w:rPr>
                <w:vertAlign w:val="superscript"/>
              </w:rPr>
              <w:t>100,00</w:t>
            </w:r>
          </w:p>
        </w:tc>
      </w:tr>
      <w:tr w:rsidR="00B60AFD" w:rsidRPr="00D24BED" w:rsidTr="00BC1811">
        <w:tc>
          <w:tcPr>
            <w:tcW w:w="35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10 00</w:t>
            </w:r>
          </w:p>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Социальная политика</w:t>
            </w:r>
          </w:p>
        </w:tc>
        <w:tc>
          <w:tcPr>
            <w:tcW w:w="1384"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86,65</w:t>
            </w:r>
          </w:p>
        </w:tc>
        <w:tc>
          <w:tcPr>
            <w:tcW w:w="13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86,65</w:t>
            </w:r>
          </w:p>
        </w:tc>
        <w:tc>
          <w:tcPr>
            <w:tcW w:w="1235"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2,04</w:t>
            </w:r>
          </w:p>
        </w:tc>
        <w:tc>
          <w:tcPr>
            <w:tcW w:w="1086" w:type="dxa"/>
          </w:tcPr>
          <w:p w:rsidR="00B60AFD" w:rsidRPr="00D24BED" w:rsidRDefault="00B60AFD" w:rsidP="00BC1811">
            <w:pPr>
              <w:jc w:val="both"/>
              <w:rPr>
                <w:vertAlign w:val="superscript"/>
              </w:rPr>
            </w:pPr>
            <w:r w:rsidRPr="00D24BED">
              <w:rPr>
                <w:vertAlign w:val="superscript"/>
              </w:rPr>
              <w:t>100,00</w:t>
            </w:r>
          </w:p>
        </w:tc>
      </w:tr>
      <w:tr w:rsidR="00B60AFD" w:rsidRPr="00D24BED" w:rsidTr="00BC1811">
        <w:tc>
          <w:tcPr>
            <w:tcW w:w="35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 xml:space="preserve">11 02 </w:t>
            </w:r>
          </w:p>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Массовый спорт</w:t>
            </w:r>
          </w:p>
        </w:tc>
        <w:tc>
          <w:tcPr>
            <w:tcW w:w="1384"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3,80</w:t>
            </w:r>
          </w:p>
        </w:tc>
        <w:tc>
          <w:tcPr>
            <w:tcW w:w="1310"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3,80</w:t>
            </w:r>
          </w:p>
        </w:tc>
        <w:tc>
          <w:tcPr>
            <w:tcW w:w="1235" w:type="dxa"/>
          </w:tcPr>
          <w:p w:rsidR="00B60AFD" w:rsidRPr="00D24BED" w:rsidRDefault="00B60AFD" w:rsidP="00BC1811">
            <w:pPr>
              <w:widowControl w:val="0"/>
              <w:autoSpaceDE w:val="0"/>
              <w:autoSpaceDN w:val="0"/>
              <w:adjustRightInd w:val="0"/>
              <w:ind w:right="-1"/>
              <w:jc w:val="both"/>
              <w:rPr>
                <w:vertAlign w:val="superscript"/>
              </w:rPr>
            </w:pPr>
            <w:r w:rsidRPr="00D24BED">
              <w:rPr>
                <w:vertAlign w:val="superscript"/>
              </w:rPr>
              <w:t>0,08</w:t>
            </w:r>
          </w:p>
        </w:tc>
        <w:tc>
          <w:tcPr>
            <w:tcW w:w="1086" w:type="dxa"/>
          </w:tcPr>
          <w:p w:rsidR="00B60AFD" w:rsidRPr="00D24BED" w:rsidRDefault="00B60AFD" w:rsidP="00BC1811">
            <w:pPr>
              <w:jc w:val="both"/>
              <w:rPr>
                <w:vertAlign w:val="superscript"/>
              </w:rPr>
            </w:pPr>
            <w:r w:rsidRPr="00D24BED">
              <w:rPr>
                <w:vertAlign w:val="superscript"/>
              </w:rPr>
              <w:t>100,00</w:t>
            </w:r>
          </w:p>
        </w:tc>
      </w:tr>
      <w:tr w:rsidR="00B60AFD" w:rsidRPr="00D24BED" w:rsidTr="00BC1811">
        <w:tc>
          <w:tcPr>
            <w:tcW w:w="3510" w:type="dxa"/>
          </w:tcPr>
          <w:p w:rsidR="00B60AFD" w:rsidRPr="00D24BED" w:rsidRDefault="00B60AFD" w:rsidP="00BC1811">
            <w:pPr>
              <w:widowControl w:val="0"/>
              <w:autoSpaceDE w:val="0"/>
              <w:autoSpaceDN w:val="0"/>
              <w:adjustRightInd w:val="0"/>
              <w:ind w:right="-1"/>
              <w:jc w:val="both"/>
              <w:rPr>
                <w:b/>
                <w:vertAlign w:val="superscript"/>
              </w:rPr>
            </w:pPr>
            <w:r w:rsidRPr="00D24BED">
              <w:rPr>
                <w:b/>
                <w:vertAlign w:val="superscript"/>
              </w:rPr>
              <w:t>Итого</w:t>
            </w:r>
          </w:p>
        </w:tc>
        <w:tc>
          <w:tcPr>
            <w:tcW w:w="1384" w:type="dxa"/>
          </w:tcPr>
          <w:p w:rsidR="00B60AFD" w:rsidRPr="00D24BED" w:rsidRDefault="00B60AFD" w:rsidP="00BC1811">
            <w:pPr>
              <w:widowControl w:val="0"/>
              <w:autoSpaceDE w:val="0"/>
              <w:autoSpaceDN w:val="0"/>
              <w:adjustRightInd w:val="0"/>
              <w:ind w:right="-1"/>
              <w:jc w:val="both"/>
              <w:rPr>
                <w:b/>
                <w:vertAlign w:val="superscript"/>
              </w:rPr>
            </w:pPr>
            <w:r w:rsidRPr="00D24BED">
              <w:rPr>
                <w:b/>
                <w:vertAlign w:val="superscript"/>
              </w:rPr>
              <w:t>4 292,80</w:t>
            </w:r>
          </w:p>
        </w:tc>
        <w:tc>
          <w:tcPr>
            <w:tcW w:w="1310" w:type="dxa"/>
          </w:tcPr>
          <w:p w:rsidR="00B60AFD" w:rsidRPr="00D24BED" w:rsidRDefault="00B60AFD" w:rsidP="00BC1811">
            <w:pPr>
              <w:widowControl w:val="0"/>
              <w:autoSpaceDE w:val="0"/>
              <w:autoSpaceDN w:val="0"/>
              <w:adjustRightInd w:val="0"/>
              <w:ind w:right="-1"/>
              <w:jc w:val="both"/>
              <w:rPr>
                <w:b/>
                <w:vertAlign w:val="superscript"/>
              </w:rPr>
            </w:pPr>
            <w:r w:rsidRPr="00D24BED">
              <w:rPr>
                <w:b/>
                <w:vertAlign w:val="superscript"/>
              </w:rPr>
              <w:t>4 254,17</w:t>
            </w:r>
          </w:p>
        </w:tc>
        <w:tc>
          <w:tcPr>
            <w:tcW w:w="1235" w:type="dxa"/>
          </w:tcPr>
          <w:p w:rsidR="00B60AFD" w:rsidRPr="00D24BED" w:rsidRDefault="00B60AFD" w:rsidP="00BC1811">
            <w:pPr>
              <w:widowControl w:val="0"/>
              <w:autoSpaceDE w:val="0"/>
              <w:autoSpaceDN w:val="0"/>
              <w:adjustRightInd w:val="0"/>
              <w:ind w:right="-1"/>
              <w:jc w:val="both"/>
              <w:rPr>
                <w:b/>
                <w:vertAlign w:val="superscript"/>
              </w:rPr>
            </w:pPr>
            <w:r w:rsidRPr="00D24BED">
              <w:rPr>
                <w:b/>
                <w:vertAlign w:val="superscript"/>
              </w:rPr>
              <w:t>99,10</w:t>
            </w:r>
          </w:p>
        </w:tc>
        <w:tc>
          <w:tcPr>
            <w:tcW w:w="1086" w:type="dxa"/>
          </w:tcPr>
          <w:p w:rsidR="00B60AFD" w:rsidRPr="00D24BED" w:rsidRDefault="00B60AFD" w:rsidP="00BC1811">
            <w:pPr>
              <w:widowControl w:val="0"/>
              <w:autoSpaceDE w:val="0"/>
              <w:autoSpaceDN w:val="0"/>
              <w:adjustRightInd w:val="0"/>
              <w:ind w:right="-1"/>
              <w:jc w:val="both"/>
              <w:rPr>
                <w:b/>
                <w:vertAlign w:val="superscript"/>
              </w:rPr>
            </w:pPr>
            <w:r w:rsidRPr="00D24BED">
              <w:rPr>
                <w:b/>
                <w:vertAlign w:val="superscript"/>
              </w:rPr>
              <w:t>99,10</w:t>
            </w:r>
          </w:p>
        </w:tc>
      </w:tr>
    </w:tbl>
    <w:p w:rsidR="00B60AFD" w:rsidRPr="00D24BED" w:rsidRDefault="00B60AFD" w:rsidP="00B60AFD">
      <w:pPr>
        <w:widowControl w:val="0"/>
        <w:autoSpaceDE w:val="0"/>
        <w:autoSpaceDN w:val="0"/>
        <w:adjustRightInd w:val="0"/>
        <w:ind w:right="-1"/>
        <w:jc w:val="both"/>
      </w:pPr>
    </w:p>
    <w:p w:rsidR="00B60AFD" w:rsidRPr="00D24BED" w:rsidRDefault="00B60AFD" w:rsidP="00B60AFD">
      <w:pPr>
        <w:widowControl w:val="0"/>
        <w:autoSpaceDE w:val="0"/>
        <w:autoSpaceDN w:val="0"/>
        <w:adjustRightInd w:val="0"/>
        <w:ind w:right="-1"/>
        <w:jc w:val="both"/>
      </w:pPr>
      <w:r w:rsidRPr="00D24BED">
        <w:t>Расходная часть бюджета поселения за 2023 год исполнена на 99,10% к уточненному плану.</w:t>
      </w:r>
    </w:p>
    <w:p w:rsidR="00B60AFD" w:rsidRPr="00D24BED" w:rsidRDefault="00B60AFD" w:rsidP="00B60AFD">
      <w:pPr>
        <w:widowControl w:val="0"/>
        <w:autoSpaceDE w:val="0"/>
        <w:autoSpaceDN w:val="0"/>
        <w:adjustRightInd w:val="0"/>
        <w:ind w:right="-1"/>
        <w:jc w:val="both"/>
      </w:pPr>
      <w:r w:rsidRPr="00D24BED">
        <w:t>Основная доля расходов бюджета поселения приходится на разделы «Общегосударственные  вопросы»-63,28 , «Жилищно-коммунальное хозяйство» - 10,02%, «Национальная экономика»- 19,52 %.</w:t>
      </w:r>
      <w:r w:rsidRPr="00D24BED">
        <w:rPr>
          <w:rFonts w:eastAsia="Calibri"/>
        </w:rPr>
        <w:t>Плановые назначения в 2023году не выполнены по разделу бюджетной классификации «</w:t>
      </w:r>
      <w:r w:rsidRPr="00D24BED">
        <w:t>Национальная экономика» выполнение составило 98,79 %, в сумме 36,53 тыс</w:t>
      </w:r>
      <w:proofErr w:type="gramStart"/>
      <w:r w:rsidRPr="00D24BED">
        <w:t>.р</w:t>
      </w:r>
      <w:proofErr w:type="gramEnd"/>
      <w:r w:rsidRPr="00D24BED">
        <w:t>ублей   дорожный  фонд  не был освоен в полном объеме.</w:t>
      </w:r>
    </w:p>
    <w:p w:rsidR="00B60AFD" w:rsidRPr="00D24BED" w:rsidRDefault="00B60AFD" w:rsidP="00B60AFD">
      <w:pPr>
        <w:widowControl w:val="0"/>
        <w:autoSpaceDE w:val="0"/>
        <w:autoSpaceDN w:val="0"/>
        <w:adjustRightInd w:val="0"/>
        <w:ind w:right="-1"/>
        <w:jc w:val="both"/>
        <w:rPr>
          <w:rFonts w:eastAsia="Calibri"/>
        </w:rPr>
      </w:pPr>
    </w:p>
    <w:p w:rsidR="00B60AFD" w:rsidRPr="00D24BED" w:rsidRDefault="00B60AFD" w:rsidP="00B60AFD">
      <w:pPr>
        <w:widowControl w:val="0"/>
        <w:autoSpaceDE w:val="0"/>
        <w:autoSpaceDN w:val="0"/>
        <w:adjustRightInd w:val="0"/>
        <w:ind w:right="-1"/>
        <w:jc w:val="center"/>
        <w:rPr>
          <w:rFonts w:eastAsia="Calibri"/>
          <w:b/>
        </w:rPr>
      </w:pPr>
    </w:p>
    <w:p w:rsidR="00B60AFD" w:rsidRPr="00D24BED" w:rsidRDefault="00B60AFD" w:rsidP="00B60AFD">
      <w:pPr>
        <w:widowControl w:val="0"/>
        <w:autoSpaceDE w:val="0"/>
        <w:autoSpaceDN w:val="0"/>
        <w:adjustRightInd w:val="0"/>
        <w:ind w:right="-1"/>
        <w:jc w:val="center"/>
        <w:rPr>
          <w:rFonts w:eastAsia="Calibri"/>
          <w:b/>
        </w:rPr>
      </w:pPr>
      <w:r w:rsidRPr="00D24BED">
        <w:rPr>
          <w:rFonts w:eastAsia="Calibri"/>
          <w:b/>
        </w:rPr>
        <w:t>6.Источики внутреннего финансирования дефицита бюджета поселения.</w:t>
      </w:r>
    </w:p>
    <w:p w:rsidR="00B60AFD" w:rsidRPr="00D24BED" w:rsidRDefault="00B60AFD" w:rsidP="00B60AFD">
      <w:pPr>
        <w:widowControl w:val="0"/>
        <w:autoSpaceDE w:val="0"/>
        <w:autoSpaceDN w:val="0"/>
        <w:adjustRightInd w:val="0"/>
        <w:ind w:right="-1"/>
        <w:jc w:val="both"/>
        <w:rPr>
          <w:rFonts w:eastAsia="Calibri"/>
        </w:rPr>
      </w:pPr>
      <w:r w:rsidRPr="00D24BED">
        <w:rPr>
          <w:rFonts w:eastAsia="Calibri"/>
        </w:rPr>
        <w:t xml:space="preserve">В соответствии с приложением №2 к  решению Совета депутатов </w:t>
      </w:r>
      <w:proofErr w:type="spellStart"/>
      <w:r w:rsidRPr="00D24BED">
        <w:t>Каскат</w:t>
      </w:r>
      <w:r w:rsidRPr="00D24BED">
        <w:rPr>
          <w:rFonts w:eastAsia="Calibri"/>
        </w:rPr>
        <w:t>ского</w:t>
      </w:r>
      <w:proofErr w:type="spellEnd"/>
      <w:r w:rsidRPr="00D24BED">
        <w:rPr>
          <w:rFonts w:eastAsia="Calibri"/>
        </w:rPr>
        <w:t xml:space="preserve"> сельского поселения от 23.12.2022 г. №43 (в редакции от </w:t>
      </w:r>
      <w:r w:rsidRPr="00D24BED">
        <w:t>21.12.2023 №57</w:t>
      </w:r>
      <w:r w:rsidRPr="00D24BED">
        <w:rPr>
          <w:rFonts w:eastAsia="Calibri"/>
        </w:rPr>
        <w:t xml:space="preserve">) главным администратором источников внутреннего финансирования дефицита бюджета утверждена Администрация </w:t>
      </w:r>
      <w:proofErr w:type="spellStart"/>
      <w:r w:rsidRPr="00D24BED">
        <w:t>Каскат</w:t>
      </w:r>
      <w:r w:rsidRPr="00D24BED">
        <w:rPr>
          <w:rFonts w:eastAsia="Calibri"/>
        </w:rPr>
        <w:t>ского</w:t>
      </w:r>
      <w:proofErr w:type="spellEnd"/>
      <w:r w:rsidRPr="00D24BED">
        <w:rPr>
          <w:rFonts w:eastAsia="Calibri"/>
        </w:rPr>
        <w:t xml:space="preserve"> сельского поселения. </w:t>
      </w:r>
    </w:p>
    <w:p w:rsidR="00B60AFD" w:rsidRPr="00D24BED" w:rsidRDefault="00B60AFD" w:rsidP="00B60AFD">
      <w:pPr>
        <w:widowControl w:val="0"/>
        <w:autoSpaceDE w:val="0"/>
        <w:autoSpaceDN w:val="0"/>
        <w:adjustRightInd w:val="0"/>
        <w:ind w:right="-1"/>
        <w:jc w:val="both"/>
        <w:rPr>
          <w:rFonts w:eastAsia="Calibri"/>
        </w:rPr>
      </w:pPr>
      <w:r w:rsidRPr="00D24BED">
        <w:rPr>
          <w:rFonts w:eastAsia="Calibri"/>
        </w:rPr>
        <w:t>Первоначально бюджет поселения на 2023 год был утвержден сбалансированным по доходам и расходам.</w:t>
      </w:r>
    </w:p>
    <w:p w:rsidR="00B60AFD" w:rsidRPr="00D24BED" w:rsidRDefault="00B60AFD" w:rsidP="00B60AFD">
      <w:pPr>
        <w:widowControl w:val="0"/>
        <w:autoSpaceDE w:val="0"/>
        <w:autoSpaceDN w:val="0"/>
        <w:adjustRightInd w:val="0"/>
        <w:ind w:right="-1"/>
        <w:jc w:val="both"/>
        <w:rPr>
          <w:rFonts w:eastAsia="Calibri"/>
        </w:rPr>
      </w:pPr>
      <w:r w:rsidRPr="00D24BED">
        <w:rPr>
          <w:rFonts w:eastAsia="Calibri"/>
        </w:rPr>
        <w:t xml:space="preserve">Уточненным бюджетом поселения в редакции от 21.12.2023г. № 57  утвержден прогнозируемый дефицит  бюджета </w:t>
      </w:r>
      <w:proofErr w:type="spellStart"/>
      <w:r w:rsidRPr="00D24BED">
        <w:t>Каскат</w:t>
      </w:r>
      <w:r w:rsidRPr="00D24BED">
        <w:rPr>
          <w:rFonts w:eastAsia="Calibri"/>
        </w:rPr>
        <w:t>ского</w:t>
      </w:r>
      <w:proofErr w:type="spellEnd"/>
      <w:r w:rsidRPr="00D24BED">
        <w:rPr>
          <w:rFonts w:eastAsia="Calibri"/>
        </w:rPr>
        <w:t xml:space="preserve"> сельского поселения на 2023 год в сумме 176,18 тыс. рублей.</w:t>
      </w:r>
    </w:p>
    <w:p w:rsidR="00B60AFD" w:rsidRPr="00D24BED" w:rsidRDefault="00B60AFD" w:rsidP="00B60AFD">
      <w:pPr>
        <w:widowControl w:val="0"/>
        <w:autoSpaceDE w:val="0"/>
        <w:autoSpaceDN w:val="0"/>
        <w:adjustRightInd w:val="0"/>
        <w:ind w:right="-1"/>
        <w:jc w:val="both"/>
        <w:rPr>
          <w:rFonts w:eastAsia="Calibri"/>
        </w:rPr>
      </w:pPr>
      <w:r w:rsidRPr="00D24BED">
        <w:rPr>
          <w:rFonts w:eastAsia="Calibri"/>
        </w:rPr>
        <w:t>По данным отчета об исполнении бюджета (ф.0503117) в 2023  году бюджет поселения исполнен с дефицитом в сумме 103,94 тыс. рублей.</w:t>
      </w:r>
    </w:p>
    <w:p w:rsidR="00B60AFD" w:rsidRPr="00D24BED" w:rsidRDefault="00B60AFD" w:rsidP="00B60AFD">
      <w:pPr>
        <w:jc w:val="both"/>
      </w:pPr>
      <w:r w:rsidRPr="00D24BED">
        <w:t>Муниципальный внутренний долг бюджета поселения по состоянию на 01.01.2023 и на 01.01.2024  годов отсутствует.</w:t>
      </w:r>
    </w:p>
    <w:p w:rsidR="00B60AFD" w:rsidRPr="00D24BED" w:rsidRDefault="00B60AFD" w:rsidP="00B60AFD">
      <w:pPr>
        <w:jc w:val="both"/>
      </w:pPr>
      <w:r w:rsidRPr="00D24BED">
        <w:t>Администрацией сельского поселения в 2023 году муниципальные гарантии предприятиям и организациям не представлялись.</w:t>
      </w:r>
    </w:p>
    <w:p w:rsidR="00B60AFD" w:rsidRPr="00D24BED" w:rsidRDefault="00B60AFD" w:rsidP="00B60AFD">
      <w:pPr>
        <w:jc w:val="center"/>
        <w:rPr>
          <w:b/>
        </w:rPr>
      </w:pPr>
    </w:p>
    <w:p w:rsidR="00B60AFD" w:rsidRPr="00D24BED" w:rsidRDefault="00B60AFD" w:rsidP="00B60AFD">
      <w:pPr>
        <w:jc w:val="center"/>
        <w:rPr>
          <w:b/>
        </w:rPr>
      </w:pPr>
      <w:bookmarkStart w:id="0" w:name="_GoBack"/>
      <w:bookmarkEnd w:id="0"/>
      <w:r w:rsidRPr="00D24BED">
        <w:rPr>
          <w:b/>
        </w:rPr>
        <w:t xml:space="preserve">7.Анализ </w:t>
      </w:r>
      <w:proofErr w:type="gramStart"/>
      <w:r w:rsidRPr="00D24BED">
        <w:rPr>
          <w:b/>
        </w:rPr>
        <w:t>расходования средств резервного фонда администрации сельского поселения</w:t>
      </w:r>
      <w:proofErr w:type="gramEnd"/>
    </w:p>
    <w:p w:rsidR="00B60AFD" w:rsidRPr="00D24BED" w:rsidRDefault="00B60AFD" w:rsidP="00B60AFD">
      <w:pPr>
        <w:ind w:firstLine="567"/>
        <w:jc w:val="both"/>
      </w:pPr>
      <w:r w:rsidRPr="00D24BED">
        <w:t xml:space="preserve"> Решением Совета депутатов от 2</w:t>
      </w:r>
      <w:r w:rsidR="00A54EB8">
        <w:t>3</w:t>
      </w:r>
      <w:r w:rsidRPr="00D24BED">
        <w:t>.12.202</w:t>
      </w:r>
      <w:r w:rsidR="00A54EB8">
        <w:t>2</w:t>
      </w:r>
      <w:r w:rsidRPr="00D24BED">
        <w:t xml:space="preserve"> № </w:t>
      </w:r>
      <w:r w:rsidR="00A54EB8">
        <w:t>43</w:t>
      </w:r>
      <w:r w:rsidRPr="00D24BED">
        <w:t xml:space="preserve"> резервный фонд администрации сельского поселения на 202</w:t>
      </w:r>
      <w:r w:rsidR="00A54EB8">
        <w:t>3</w:t>
      </w:r>
      <w:r w:rsidRPr="00D24BED">
        <w:t xml:space="preserve"> год предусмотрен в сумме 2,10 тыс. рублей, что составляет 0,09% от общего объема расходов и не превышает норматив, установленный ст. 81 БК РФ (3% от утвержденного объема расходов).  </w:t>
      </w:r>
    </w:p>
    <w:p w:rsidR="00B60AFD" w:rsidRPr="00D24BED" w:rsidRDefault="00B60AFD" w:rsidP="00B60AFD">
      <w:pPr>
        <w:jc w:val="both"/>
      </w:pPr>
      <w:r w:rsidRPr="00D24BED">
        <w:t xml:space="preserve">     </w:t>
      </w:r>
      <w:proofErr w:type="gramStart"/>
      <w:r w:rsidRPr="00D24BED">
        <w:t>Согласно отчета</w:t>
      </w:r>
      <w:proofErr w:type="gramEnd"/>
      <w:r w:rsidRPr="00D24BED">
        <w:t xml:space="preserve"> об использовании бюджетных ассигнований резервно</w:t>
      </w:r>
      <w:r w:rsidR="00A54EB8">
        <w:t>го фонда выплаты в 2023</w:t>
      </w:r>
      <w:r w:rsidRPr="00D24BED">
        <w:t xml:space="preserve"> году </w:t>
      </w:r>
      <w:r w:rsidR="00A54EB8">
        <w:t xml:space="preserve"> не </w:t>
      </w:r>
      <w:r w:rsidRPr="00D24BED">
        <w:t xml:space="preserve">производились </w:t>
      </w:r>
      <w:r w:rsidR="00A54EB8">
        <w:t>в связи с отсутствием  чрезвычайных  ситуаций25</w:t>
      </w:r>
      <w:r w:rsidRPr="00D24BED">
        <w:t>.</w:t>
      </w:r>
    </w:p>
    <w:p w:rsidR="00B60AFD" w:rsidRPr="00D24BED" w:rsidRDefault="00B60AFD" w:rsidP="00B60AFD">
      <w:pPr>
        <w:jc w:val="center"/>
        <w:rPr>
          <w:b/>
        </w:rPr>
      </w:pPr>
      <w:r w:rsidRPr="00D24BED">
        <w:rPr>
          <w:b/>
        </w:rPr>
        <w:t xml:space="preserve">8.Анализ расходования средств дорожного фонда бюджета </w:t>
      </w:r>
      <w:proofErr w:type="spellStart"/>
      <w:r w:rsidRPr="00D24BED">
        <w:rPr>
          <w:b/>
        </w:rPr>
        <w:t>Каскатского</w:t>
      </w:r>
      <w:proofErr w:type="spellEnd"/>
      <w:r w:rsidRPr="00D24BED">
        <w:rPr>
          <w:b/>
        </w:rPr>
        <w:t xml:space="preserve"> сельского поселения</w:t>
      </w:r>
    </w:p>
    <w:p w:rsidR="00B60AFD" w:rsidRPr="00D24BED" w:rsidRDefault="00B60AFD" w:rsidP="00B60AFD">
      <w:pPr>
        <w:pStyle w:val="a3"/>
        <w:widowControl w:val="0"/>
        <w:autoSpaceDE w:val="0"/>
        <w:autoSpaceDN w:val="0"/>
        <w:adjustRightInd w:val="0"/>
        <w:ind w:left="0"/>
        <w:jc w:val="both"/>
        <w:rPr>
          <w:rFonts w:ascii="Times New Roman" w:hAnsi="Times New Roman"/>
          <w:sz w:val="24"/>
          <w:szCs w:val="24"/>
        </w:rPr>
      </w:pPr>
      <w:r w:rsidRPr="00D24BED">
        <w:rPr>
          <w:rFonts w:ascii="Times New Roman" w:hAnsi="Times New Roman"/>
          <w:sz w:val="24"/>
          <w:szCs w:val="24"/>
        </w:rPr>
        <w:t xml:space="preserve">Остаток средств дорожного фонда </w:t>
      </w:r>
      <w:proofErr w:type="spellStart"/>
      <w:r w:rsidRPr="00D24BED">
        <w:rPr>
          <w:rFonts w:ascii="Times New Roman" w:hAnsi="Times New Roman"/>
          <w:sz w:val="24"/>
          <w:szCs w:val="24"/>
        </w:rPr>
        <w:t>Каскатского</w:t>
      </w:r>
      <w:proofErr w:type="spellEnd"/>
      <w:r w:rsidRPr="00D24BED">
        <w:rPr>
          <w:rFonts w:ascii="Times New Roman" w:hAnsi="Times New Roman"/>
          <w:sz w:val="24"/>
          <w:szCs w:val="24"/>
        </w:rPr>
        <w:t xml:space="preserve"> сельского поселения на 01.01.2023 г составил -103,48 тыс. рублей, поступило 223,05 тыс</w:t>
      </w:r>
      <w:proofErr w:type="gramStart"/>
      <w:r w:rsidRPr="00D24BED">
        <w:rPr>
          <w:rFonts w:ascii="Times New Roman" w:hAnsi="Times New Roman"/>
          <w:sz w:val="24"/>
          <w:szCs w:val="24"/>
        </w:rPr>
        <w:t>.р</w:t>
      </w:r>
      <w:proofErr w:type="gramEnd"/>
      <w:r w:rsidRPr="00D24BED">
        <w:rPr>
          <w:rFonts w:ascii="Times New Roman" w:hAnsi="Times New Roman"/>
          <w:sz w:val="24"/>
          <w:szCs w:val="24"/>
        </w:rPr>
        <w:t>ублей.</w:t>
      </w:r>
    </w:p>
    <w:p w:rsidR="00B60AFD" w:rsidRPr="0028614D" w:rsidRDefault="00B60AFD" w:rsidP="00B60AFD">
      <w:pPr>
        <w:pStyle w:val="a3"/>
        <w:widowControl w:val="0"/>
        <w:autoSpaceDE w:val="0"/>
        <w:autoSpaceDN w:val="0"/>
        <w:adjustRightInd w:val="0"/>
        <w:ind w:left="0" w:right="-1"/>
        <w:jc w:val="both"/>
        <w:rPr>
          <w:rFonts w:ascii="Times New Roman" w:hAnsi="Times New Roman"/>
          <w:sz w:val="24"/>
          <w:szCs w:val="24"/>
        </w:rPr>
      </w:pPr>
      <w:r w:rsidRPr="00722E1A">
        <w:rPr>
          <w:rFonts w:ascii="Times New Roman" w:hAnsi="Times New Roman"/>
          <w:sz w:val="24"/>
          <w:szCs w:val="24"/>
        </w:rPr>
        <w:t>Плановые назначения поступлений доходов от акцизов на нефтепродукты выполнены в сумме 221,10 тыс</w:t>
      </w:r>
      <w:proofErr w:type="gramStart"/>
      <w:r w:rsidRPr="00722E1A">
        <w:rPr>
          <w:rFonts w:ascii="Times New Roman" w:hAnsi="Times New Roman"/>
          <w:sz w:val="24"/>
          <w:szCs w:val="24"/>
        </w:rPr>
        <w:t>.р</w:t>
      </w:r>
      <w:proofErr w:type="gramEnd"/>
      <w:r w:rsidRPr="00722E1A">
        <w:rPr>
          <w:rFonts w:ascii="Times New Roman" w:hAnsi="Times New Roman"/>
          <w:sz w:val="24"/>
          <w:szCs w:val="24"/>
        </w:rPr>
        <w:t>ублей, перевыполнение плановых назначений составили сумму 1,95 тыс. рублей. Расходы на содержание дорог в сумме 288,050 тыс. рублей, не использованы средства дорожного фонда в сумме 36,53 тыс</w:t>
      </w:r>
      <w:proofErr w:type="gramStart"/>
      <w:r w:rsidRPr="00722E1A">
        <w:rPr>
          <w:rFonts w:ascii="Times New Roman" w:hAnsi="Times New Roman"/>
          <w:sz w:val="24"/>
          <w:szCs w:val="24"/>
        </w:rPr>
        <w:t>.р</w:t>
      </w:r>
      <w:proofErr w:type="gramEnd"/>
      <w:r w:rsidRPr="00722E1A">
        <w:rPr>
          <w:rFonts w:ascii="Times New Roman" w:hAnsi="Times New Roman"/>
          <w:sz w:val="24"/>
          <w:szCs w:val="24"/>
        </w:rPr>
        <w:t>уб.</w:t>
      </w:r>
    </w:p>
    <w:p w:rsidR="00B60AFD" w:rsidRPr="00D24BED" w:rsidRDefault="00B60AFD" w:rsidP="00B60AFD">
      <w:pPr>
        <w:jc w:val="center"/>
        <w:rPr>
          <w:b/>
        </w:rPr>
      </w:pPr>
      <w:r w:rsidRPr="00D24BED">
        <w:rPr>
          <w:b/>
        </w:rPr>
        <w:lastRenderedPageBreak/>
        <w:t xml:space="preserve">9.Результаты внешней проверки годовой бюджетной отчетности </w:t>
      </w:r>
      <w:proofErr w:type="spellStart"/>
      <w:r w:rsidRPr="00D24BED">
        <w:rPr>
          <w:b/>
        </w:rPr>
        <w:t>Каскатского</w:t>
      </w:r>
      <w:proofErr w:type="spellEnd"/>
      <w:r w:rsidRPr="00D24BED">
        <w:rPr>
          <w:b/>
        </w:rPr>
        <w:t xml:space="preserve"> сельского поселения.</w:t>
      </w:r>
    </w:p>
    <w:p w:rsidR="00B60AFD" w:rsidRPr="00D24BED" w:rsidRDefault="00B60AFD" w:rsidP="00B60AFD">
      <w:pPr>
        <w:jc w:val="both"/>
      </w:pPr>
      <w:r w:rsidRPr="00D24BED">
        <w:t xml:space="preserve">Оценка достоверности, полноты и своевременности предоставления бюджетной отчетности в составе форм, предусмотренных Инструкцией №191н, осуществлялась путем анализа бюджетной отчетности предоставленной главными администраторами доходов бюджета, администратора источника финансирования дефицита бюджета, главного распорядителя, получателя бюджетных средств: Администрацией </w:t>
      </w:r>
      <w:proofErr w:type="spellStart"/>
      <w:r w:rsidRPr="00D24BED">
        <w:t>Каскатского</w:t>
      </w:r>
      <w:proofErr w:type="spellEnd"/>
      <w:r w:rsidRPr="00D24BED">
        <w:t xml:space="preserve"> сельского поселения, УФНС России по Омской области, Управления </w:t>
      </w:r>
      <w:proofErr w:type="spellStart"/>
      <w:r w:rsidRPr="00D24BED">
        <w:t>Роспотребнадзора</w:t>
      </w:r>
      <w:proofErr w:type="spellEnd"/>
      <w:r w:rsidRPr="00D24BED">
        <w:t xml:space="preserve"> по Омской области.</w:t>
      </w:r>
    </w:p>
    <w:p w:rsidR="00B60AFD" w:rsidRPr="00D24BED" w:rsidRDefault="00B60AFD" w:rsidP="00B60AFD">
      <w:pPr>
        <w:jc w:val="center"/>
        <w:rPr>
          <w:b/>
        </w:rPr>
      </w:pPr>
      <w:r w:rsidRPr="00D24BED">
        <w:rPr>
          <w:b/>
        </w:rPr>
        <w:t>10.Выводы.</w:t>
      </w:r>
    </w:p>
    <w:p w:rsidR="00B60AFD" w:rsidRPr="00D24BED" w:rsidRDefault="00B60AFD" w:rsidP="00B60AFD">
      <w:pPr>
        <w:autoSpaceDE w:val="0"/>
        <w:autoSpaceDN w:val="0"/>
        <w:adjustRightInd w:val="0"/>
        <w:jc w:val="both"/>
      </w:pPr>
      <w:r w:rsidRPr="00D24BED">
        <w:t xml:space="preserve">    1. Согласно ст.13 Федерального закона № 402-ФЗ «О бухгалтерском учете» бухгалтерская отчетность дает четкое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B60AFD" w:rsidRPr="00D24BED" w:rsidRDefault="00B60AFD" w:rsidP="00B60AFD">
      <w:pPr>
        <w:autoSpaceDE w:val="0"/>
        <w:autoSpaceDN w:val="0"/>
        <w:adjustRightInd w:val="0"/>
        <w:jc w:val="both"/>
      </w:pPr>
      <w:r w:rsidRPr="00D24BED">
        <w:t xml:space="preserve">   2. Годовой отчет за 2023 год составлен в соответствии с Инструкцией 191н и   Федеральными стандартами: </w:t>
      </w:r>
      <w:r w:rsidRPr="00D24BED">
        <w:rPr>
          <w:shd w:val="clear" w:color="auto" w:fill="FFFFFF"/>
        </w:rPr>
        <w:t xml:space="preserve">«Концептуальные основы </w:t>
      </w:r>
      <w:proofErr w:type="spellStart"/>
      <w:r w:rsidRPr="00D24BED">
        <w:rPr>
          <w:shd w:val="clear" w:color="auto" w:fill="FFFFFF"/>
        </w:rPr>
        <w:t>бух</w:t>
      </w:r>
      <w:proofErr w:type="gramStart"/>
      <w:r w:rsidRPr="00D24BED">
        <w:rPr>
          <w:shd w:val="clear" w:color="auto" w:fill="FFFFFF"/>
        </w:rPr>
        <w:t>.у</w:t>
      </w:r>
      <w:proofErr w:type="gramEnd"/>
      <w:r w:rsidRPr="00D24BED">
        <w:rPr>
          <w:shd w:val="clear" w:color="auto" w:fill="FFFFFF"/>
        </w:rPr>
        <w:t>чета</w:t>
      </w:r>
      <w:proofErr w:type="spellEnd"/>
      <w:r w:rsidRPr="00D24BED">
        <w:rPr>
          <w:shd w:val="clear" w:color="auto" w:fill="FFFFFF"/>
        </w:rPr>
        <w:t xml:space="preserve"> и отчетности для организаций </w:t>
      </w:r>
      <w:proofErr w:type="spellStart"/>
      <w:r w:rsidRPr="00D24BED">
        <w:rPr>
          <w:shd w:val="clear" w:color="auto" w:fill="FFFFFF"/>
        </w:rPr>
        <w:t>гос.сектора</w:t>
      </w:r>
      <w:proofErr w:type="spellEnd"/>
      <w:r w:rsidRPr="00D24BED">
        <w:rPr>
          <w:shd w:val="clear" w:color="auto" w:fill="FFFFFF"/>
        </w:rPr>
        <w:t>» (приказ Минфина России от 31.12.2016г. №256Н), «Основные средства»  (приказ Минфина России от 31.12.2016г. №257Н), «Аренда» (приказ Минфина России от 31.12.2016г. №258Н),  «Обесценивание активов»     (приказ Минфина России от 31.12.2016г. №259Н),»Предоставление бух. (финансовой) отчетности» (приказ Минфина России от 31.12.2016г. №260Н), «Учетная политика, оценочные значения и ошибки» (</w:t>
      </w:r>
      <w:proofErr w:type="gramStart"/>
      <w:r w:rsidRPr="00D24BED">
        <w:rPr>
          <w:shd w:val="clear" w:color="auto" w:fill="FFFFFF"/>
        </w:rPr>
        <w:t>приказ Минфина России от 30.12.2017г. №274Н), «»События после отчетной даты» (приказ Минфина России от 30.12.2017г. №275Н), «»Отчет о движении денежных средств» (приказ Минфина России от 30.12.2017г. №278Н), «Доходы» (приказ Минфина России от 27.02.2018г. №32Н), ФСБУ "</w:t>
      </w:r>
      <w:proofErr w:type="spellStart"/>
      <w:r w:rsidRPr="00D24BED">
        <w:rPr>
          <w:shd w:val="clear" w:color="auto" w:fill="FFFFFF"/>
        </w:rPr>
        <w:t>Непроизведенные</w:t>
      </w:r>
      <w:proofErr w:type="spellEnd"/>
      <w:r w:rsidRPr="00D24BED">
        <w:rPr>
          <w:shd w:val="clear" w:color="auto" w:fill="FFFFFF"/>
        </w:rPr>
        <w:t xml:space="preserve"> активы"  (Приказ Минфина РФ </w:t>
      </w:r>
      <w:hyperlink r:id="rId37" w:anchor="l0" w:history="1">
        <w:r w:rsidRPr="00D24BED">
          <w:rPr>
            <w:rStyle w:val="ae"/>
            <w:color w:val="auto"/>
            <w:shd w:val="clear" w:color="auto" w:fill="FFFFFF"/>
          </w:rPr>
          <w:t>от 28.02.2018 N 34н),</w:t>
        </w:r>
      </w:hyperlink>
      <w:hyperlink r:id="rId38" w:anchor="l0" w:history="1">
        <w:r w:rsidRPr="00D24BED">
          <w:rPr>
            <w:rStyle w:val="ae"/>
            <w:color w:val="auto"/>
            <w:shd w:val="clear" w:color="auto" w:fill="FFFFFF"/>
          </w:rPr>
          <w:t> ФСБУ "Бюджетная информация в бухгалтерской (финансовой) отчетности" </w:t>
        </w:r>
      </w:hyperlink>
      <w:hyperlink r:id="rId39" w:anchor="l0" w:history="1">
        <w:r w:rsidRPr="00D24BED">
          <w:rPr>
            <w:rStyle w:val="ae"/>
            <w:color w:val="auto"/>
            <w:shd w:val="clear" w:color="auto" w:fill="FFFFFF"/>
          </w:rPr>
          <w:t>(Приказ Минфина РФ </w:t>
        </w:r>
      </w:hyperlink>
      <w:hyperlink r:id="rId40" w:anchor="l0" w:history="1">
        <w:r w:rsidRPr="00D24BED">
          <w:rPr>
            <w:rStyle w:val="ae"/>
            <w:color w:val="auto"/>
            <w:shd w:val="clear" w:color="auto" w:fill="FFFFFF"/>
          </w:rPr>
          <w:t>от 28.02.2018</w:t>
        </w:r>
        <w:proofErr w:type="gramEnd"/>
        <w:r w:rsidRPr="00D24BED">
          <w:rPr>
            <w:rStyle w:val="ae"/>
            <w:color w:val="auto"/>
            <w:shd w:val="clear" w:color="auto" w:fill="FFFFFF"/>
          </w:rPr>
          <w:t xml:space="preserve"> N 37н</w:t>
        </w:r>
      </w:hyperlink>
      <w:r w:rsidRPr="00D24BED">
        <w:rPr>
          <w:shd w:val="clear" w:color="auto" w:fill="FFFFFF"/>
        </w:rPr>
        <w:t>), ФСБУ "Влияние изменений курсов иностранных валют</w:t>
      </w:r>
      <w:proofErr w:type="gramStart"/>
      <w:r w:rsidRPr="00D24BED">
        <w:rPr>
          <w:shd w:val="clear" w:color="auto" w:fill="FFFFFF"/>
        </w:rPr>
        <w:t>"(</w:t>
      </w:r>
      <w:proofErr w:type="gramEnd"/>
      <w:r w:rsidRPr="00D24BED">
        <w:rPr>
          <w:shd w:val="clear" w:color="auto" w:fill="FFFFFF"/>
        </w:rPr>
        <w:t xml:space="preserve"> Приказ Минфина РФ </w:t>
      </w:r>
      <w:hyperlink r:id="rId41" w:anchor="l0" w:history="1">
        <w:r w:rsidRPr="00D24BED">
          <w:rPr>
            <w:rStyle w:val="ae"/>
            <w:color w:val="auto"/>
            <w:shd w:val="clear" w:color="auto" w:fill="FFFFFF"/>
          </w:rPr>
          <w:t>от 30.05.2018 N 122н</w:t>
        </w:r>
      </w:hyperlink>
      <w:r w:rsidRPr="00D24BED">
        <w:rPr>
          <w:shd w:val="clear" w:color="auto" w:fill="FFFFFF"/>
        </w:rPr>
        <w:t>), ФСБУ "Резервы. Раскрытие информации об условных обязательствах и условных активах" (Приказ Минфина РФ </w:t>
      </w:r>
      <w:hyperlink r:id="rId42" w:anchor="l0" w:history="1">
        <w:r w:rsidRPr="00D24BED">
          <w:rPr>
            <w:rStyle w:val="ae"/>
            <w:color w:val="auto"/>
            <w:shd w:val="clear" w:color="auto" w:fill="FFFFFF"/>
          </w:rPr>
          <w:t>от 30.05.2018 N 124н</w:t>
        </w:r>
      </w:hyperlink>
      <w:r w:rsidRPr="00D24BED">
        <w:rPr>
          <w:shd w:val="clear" w:color="auto" w:fill="FFFFFF"/>
        </w:rPr>
        <w:t>), ФСБУ "Долгосрочные договоры</w:t>
      </w:r>
      <w:proofErr w:type="gramStart"/>
      <w:r w:rsidRPr="00D24BED">
        <w:rPr>
          <w:shd w:val="clear" w:color="auto" w:fill="FFFFFF"/>
        </w:rPr>
        <w:t>"(</w:t>
      </w:r>
      <w:proofErr w:type="gramEnd"/>
      <w:r w:rsidRPr="00D24BED">
        <w:rPr>
          <w:shd w:val="clear" w:color="auto" w:fill="FFFFFF"/>
        </w:rPr>
        <w:t xml:space="preserve"> Приказ Минфина РФ </w:t>
      </w:r>
      <w:hyperlink r:id="rId43" w:anchor="l0" w:history="1">
        <w:r w:rsidRPr="00D24BED">
          <w:rPr>
            <w:rStyle w:val="ae"/>
            <w:color w:val="auto"/>
            <w:shd w:val="clear" w:color="auto" w:fill="FFFFFF"/>
          </w:rPr>
          <w:t>от 29.06.2018 N 145н</w:t>
        </w:r>
      </w:hyperlink>
      <w:r w:rsidRPr="00D24BED">
        <w:rPr>
          <w:shd w:val="clear" w:color="auto" w:fill="FFFFFF"/>
        </w:rPr>
        <w:t>), ФСБУ "Концессионные соглашения" (Приказ Минфина РФ </w:t>
      </w:r>
      <w:hyperlink r:id="rId44" w:anchor="l3" w:history="1">
        <w:r w:rsidRPr="00D24BED">
          <w:rPr>
            <w:rStyle w:val="ae"/>
            <w:color w:val="auto"/>
            <w:shd w:val="clear" w:color="auto" w:fill="FFFFFF"/>
          </w:rPr>
          <w:t>от 29.06.2018 N 146н</w:t>
        </w:r>
      </w:hyperlink>
      <w:r w:rsidRPr="00D24BED">
        <w:rPr>
          <w:shd w:val="clear" w:color="auto" w:fill="FFFFFF"/>
        </w:rPr>
        <w:t>), ФСБУ "Запасы" (Приказ Минфина РФ </w:t>
      </w:r>
      <w:hyperlink r:id="rId45" w:anchor="l3" w:history="1">
        <w:r w:rsidRPr="00D24BED">
          <w:rPr>
            <w:rStyle w:val="ae"/>
            <w:color w:val="auto"/>
            <w:shd w:val="clear" w:color="auto" w:fill="FFFFFF"/>
          </w:rPr>
          <w:t>от 07.12.2018 N 256н</w:t>
        </w:r>
      </w:hyperlink>
      <w:r w:rsidRPr="00D24BED">
        <w:rPr>
          <w:shd w:val="clear" w:color="auto" w:fill="FFFFFF"/>
        </w:rPr>
        <w:t>),ФСБУ "Нематериальные активы" (Приказ Минфина РФ </w:t>
      </w:r>
      <w:hyperlink r:id="rId46" w:anchor="l0" w:history="1">
        <w:r w:rsidRPr="00D24BED">
          <w:rPr>
            <w:rStyle w:val="ae"/>
            <w:color w:val="auto"/>
            <w:shd w:val="clear" w:color="auto" w:fill="FFFFFF"/>
          </w:rPr>
          <w:t>от 15.11.2019 N 181н</w:t>
        </w:r>
      </w:hyperlink>
      <w:r w:rsidRPr="00D24BED">
        <w:rPr>
          <w:shd w:val="clear" w:color="auto" w:fill="FFFFFF"/>
        </w:rPr>
        <w:t>), ФСБУ "Затраты по заимствованиям"( Приказ Минфина РФ </w:t>
      </w:r>
      <w:hyperlink r:id="rId47" w:anchor="l0" w:history="1">
        <w:r w:rsidRPr="00D24BED">
          <w:rPr>
            <w:rStyle w:val="ae"/>
            <w:color w:val="auto"/>
            <w:shd w:val="clear" w:color="auto" w:fill="FFFFFF"/>
          </w:rPr>
          <w:t>от 15.11.2019 N 182н</w:t>
        </w:r>
      </w:hyperlink>
      <w:r w:rsidRPr="00D24BED">
        <w:rPr>
          <w:shd w:val="clear" w:color="auto" w:fill="FFFFFF"/>
        </w:rPr>
        <w:t>), ФСБУ "Совместная деятельность" (Приказ Минфина РФ </w:t>
      </w:r>
      <w:hyperlink r:id="rId48" w:anchor="l2" w:history="1">
        <w:r w:rsidRPr="00D24BED">
          <w:rPr>
            <w:rStyle w:val="ae"/>
            <w:color w:val="auto"/>
            <w:shd w:val="clear" w:color="auto" w:fill="FFFFFF"/>
          </w:rPr>
          <w:t>от 15.11.2019 N 183н</w:t>
        </w:r>
      </w:hyperlink>
      <w:r w:rsidRPr="00D24BED">
        <w:rPr>
          <w:shd w:val="clear" w:color="auto" w:fill="FFFFFF"/>
        </w:rPr>
        <w:t>), ФСБУ "Выплаты персоналу</w:t>
      </w:r>
      <w:proofErr w:type="gramStart"/>
      <w:r w:rsidRPr="00D24BED">
        <w:rPr>
          <w:shd w:val="clear" w:color="auto" w:fill="FFFFFF"/>
        </w:rPr>
        <w:t>"(</w:t>
      </w:r>
      <w:proofErr w:type="gramEnd"/>
      <w:r w:rsidRPr="00D24BED">
        <w:rPr>
          <w:shd w:val="clear" w:color="auto" w:fill="FFFFFF"/>
        </w:rPr>
        <w:t xml:space="preserve"> Приказ Минфина РФ </w:t>
      </w:r>
      <w:hyperlink r:id="rId49" w:anchor="l0" w:history="1">
        <w:r w:rsidRPr="00D24BED">
          <w:rPr>
            <w:rStyle w:val="ae"/>
            <w:color w:val="auto"/>
            <w:shd w:val="clear" w:color="auto" w:fill="FFFFFF"/>
          </w:rPr>
          <w:t>от 15.11.2019 N 184н</w:t>
        </w:r>
      </w:hyperlink>
      <w:r w:rsidRPr="00D24BED">
        <w:rPr>
          <w:shd w:val="clear" w:color="auto" w:fill="FFFFFF"/>
        </w:rPr>
        <w:t>), ФСБУ "Отчетность по операциям системы казначейских платежей" (Приказ Минфина РФ </w:t>
      </w:r>
      <w:hyperlink r:id="rId50" w:anchor="l0" w:history="1">
        <w:r w:rsidRPr="00D24BED">
          <w:rPr>
            <w:rStyle w:val="ae"/>
            <w:color w:val="auto"/>
            <w:shd w:val="clear" w:color="auto" w:fill="FFFFFF"/>
          </w:rPr>
          <w:t>от 30.06.2020 N 126н</w:t>
        </w:r>
      </w:hyperlink>
      <w:r w:rsidRPr="00D24BED">
        <w:rPr>
          <w:shd w:val="clear" w:color="auto" w:fill="FFFFFF"/>
        </w:rPr>
        <w:t>), ФСБУ "Финансовые инструменты" (Приказ Минфина РФ </w:t>
      </w:r>
      <w:hyperlink r:id="rId51" w:anchor="l0" w:history="1">
        <w:r w:rsidRPr="00D24BED">
          <w:rPr>
            <w:rStyle w:val="ae"/>
            <w:color w:val="auto"/>
            <w:shd w:val="clear" w:color="auto" w:fill="FFFFFF"/>
          </w:rPr>
          <w:t>от 30.06.2020 N 129н</w:t>
        </w:r>
      </w:hyperlink>
      <w:r w:rsidRPr="00D24BED">
        <w:rPr>
          <w:shd w:val="clear" w:color="auto" w:fill="FFFFFF"/>
        </w:rPr>
        <w:t>), ФСБУ "Предоставление бухгалтерской (финансовой) отчетности" (Приказ Минфина РФ </w:t>
      </w:r>
      <w:hyperlink r:id="rId52" w:anchor="l0" w:history="1">
        <w:r w:rsidRPr="00D24BED">
          <w:rPr>
            <w:rStyle w:val="ae"/>
            <w:color w:val="auto"/>
            <w:shd w:val="clear" w:color="auto" w:fill="FFFFFF"/>
          </w:rPr>
          <w:t xml:space="preserve">от 31.12.2016 N </w:t>
        </w:r>
        <w:proofErr w:type="gramStart"/>
        <w:r w:rsidRPr="00D24BED">
          <w:rPr>
            <w:rStyle w:val="ae"/>
            <w:color w:val="auto"/>
            <w:shd w:val="clear" w:color="auto" w:fill="FFFFFF"/>
          </w:rPr>
          <w:t>260н</w:t>
        </w:r>
      </w:hyperlink>
      <w:r w:rsidRPr="00D24BED">
        <w:rPr>
          <w:shd w:val="clear" w:color="auto" w:fill="FFFFFF"/>
        </w:rPr>
        <w:t>),  ФСБУ " Бухгалтерской информация в бухгалтерской (финансовой) отчетности " (Приказ Минфина РФ </w:t>
      </w:r>
      <w:hyperlink r:id="rId53" w:anchor="l0" w:history="1">
        <w:r w:rsidRPr="00D24BED">
          <w:rPr>
            <w:rStyle w:val="ae"/>
            <w:color w:val="auto"/>
            <w:shd w:val="clear" w:color="auto" w:fill="FFFFFF"/>
          </w:rPr>
          <w:t>от 28.02.2018 N 37н</w:t>
        </w:r>
      </w:hyperlink>
      <w:r w:rsidRPr="00D24BED">
        <w:rPr>
          <w:shd w:val="clear" w:color="auto" w:fill="FFFFFF"/>
        </w:rPr>
        <w:t>), ФСБУ " Информация о связанных сторонах» " (Приказ Минфина РФ </w:t>
      </w:r>
      <w:hyperlink r:id="rId54" w:anchor="l0" w:history="1">
        <w:r w:rsidRPr="00D24BED">
          <w:rPr>
            <w:rStyle w:val="ae"/>
            <w:color w:val="auto"/>
            <w:shd w:val="clear" w:color="auto" w:fill="FFFFFF"/>
          </w:rPr>
          <w:t>от 30.12.2017 N 277н</w:t>
        </w:r>
      </w:hyperlink>
      <w:r w:rsidRPr="00D24BED">
        <w:rPr>
          <w:shd w:val="clear" w:color="auto" w:fill="FFFFFF"/>
        </w:rPr>
        <w:t>), ФСБУ "Сведения о показателях бухгалтерской (финансовой) отчетности по сегментам" (Приказ Минфина РФ </w:t>
      </w:r>
      <w:hyperlink r:id="rId55" w:anchor="l0" w:history="1">
        <w:r w:rsidRPr="00D24BED">
          <w:rPr>
            <w:rStyle w:val="ae"/>
            <w:color w:val="auto"/>
            <w:shd w:val="clear" w:color="auto" w:fill="FFFFFF"/>
          </w:rPr>
          <w:t>от 29.09.2020 N 233н</w:t>
        </w:r>
      </w:hyperlink>
      <w:r w:rsidRPr="00D24BED">
        <w:rPr>
          <w:shd w:val="clear" w:color="auto" w:fill="FFFFFF"/>
        </w:rPr>
        <w:t>),  ФСБУ "Метод долевого участия" (Приказ Минфина РФ </w:t>
      </w:r>
      <w:hyperlink r:id="rId56" w:anchor="l0" w:history="1">
        <w:r w:rsidRPr="00D24BED">
          <w:rPr>
            <w:rStyle w:val="ae"/>
            <w:color w:val="auto"/>
            <w:shd w:val="clear" w:color="auto" w:fill="FFFFFF"/>
          </w:rPr>
          <w:t>от 30.10.2020 N 254н</w:t>
        </w:r>
      </w:hyperlink>
      <w:r w:rsidRPr="00D24BED">
        <w:rPr>
          <w:shd w:val="clear" w:color="auto" w:fill="FFFFFF"/>
        </w:rPr>
        <w:t>),  ФСБУ "</w:t>
      </w:r>
      <w:proofErr w:type="spellStart"/>
      <w:r w:rsidRPr="00D24BED">
        <w:rPr>
          <w:shd w:val="clear" w:color="auto" w:fill="FFFFFF"/>
        </w:rPr>
        <w:t>Консолидированая</w:t>
      </w:r>
      <w:proofErr w:type="spellEnd"/>
      <w:r w:rsidRPr="00D24BED">
        <w:rPr>
          <w:shd w:val="clear" w:color="auto" w:fill="FFFFFF"/>
        </w:rPr>
        <w:t xml:space="preserve">  бухгалтерская (финансовая) отчетность" (Приказ</w:t>
      </w:r>
      <w:proofErr w:type="gramEnd"/>
      <w:r w:rsidRPr="00D24BED">
        <w:rPr>
          <w:shd w:val="clear" w:color="auto" w:fill="FFFFFF"/>
        </w:rPr>
        <w:t xml:space="preserve"> </w:t>
      </w:r>
      <w:proofErr w:type="gramStart"/>
      <w:r w:rsidRPr="00D24BED">
        <w:rPr>
          <w:shd w:val="clear" w:color="auto" w:fill="FFFFFF"/>
        </w:rPr>
        <w:t>Минфина РФ </w:t>
      </w:r>
      <w:hyperlink r:id="rId57" w:anchor="l0" w:history="1">
        <w:r w:rsidRPr="00D24BED">
          <w:rPr>
            <w:rStyle w:val="ae"/>
            <w:color w:val="auto"/>
            <w:shd w:val="clear" w:color="auto" w:fill="FFFFFF"/>
          </w:rPr>
          <w:t>от 30.10.2020 N 255н</w:t>
        </w:r>
      </w:hyperlink>
      <w:r w:rsidRPr="00D24BED">
        <w:rPr>
          <w:shd w:val="clear" w:color="auto" w:fill="FFFFFF"/>
        </w:rPr>
        <w:t>),  ФСБУ "Биологические активы" (Приказ Минфина РФ </w:t>
      </w:r>
      <w:hyperlink r:id="rId58" w:anchor="l0" w:history="1">
        <w:r w:rsidRPr="00D24BED">
          <w:rPr>
            <w:rStyle w:val="ae"/>
            <w:color w:val="auto"/>
            <w:shd w:val="clear" w:color="auto" w:fill="FFFFFF"/>
          </w:rPr>
          <w:t>от 16.12.2020 N 310н</w:t>
        </w:r>
      </w:hyperlink>
      <w:r w:rsidRPr="00D24BED">
        <w:rPr>
          <w:shd w:val="clear" w:color="auto" w:fill="FFFFFF"/>
        </w:rPr>
        <w:t>),  ФСБУ "Учет операций казначейских платежей" (Приказ Минфина РФ </w:t>
      </w:r>
      <w:hyperlink r:id="rId59" w:anchor="l0" w:history="1">
        <w:r w:rsidRPr="00D24BED">
          <w:rPr>
            <w:rStyle w:val="ae"/>
            <w:color w:val="auto"/>
            <w:shd w:val="clear" w:color="auto" w:fill="FFFFFF"/>
          </w:rPr>
          <w:t>от 16.12.2020 N 314н</w:t>
        </w:r>
      </w:hyperlink>
      <w:r w:rsidRPr="00D24BED">
        <w:rPr>
          <w:shd w:val="clear" w:color="auto" w:fill="FFFFFF"/>
        </w:rPr>
        <w:t>), ФСБУ "Государственная муниципальная казна" (Приказ Минфина РФ </w:t>
      </w:r>
      <w:hyperlink r:id="rId60" w:anchor="l0" w:history="1">
        <w:r w:rsidRPr="00D24BED">
          <w:rPr>
            <w:rStyle w:val="ae"/>
            <w:color w:val="auto"/>
            <w:shd w:val="clear" w:color="auto" w:fill="FFFFFF"/>
          </w:rPr>
          <w:t>от 15.06.2021 N 84н</w:t>
        </w:r>
      </w:hyperlink>
      <w:r w:rsidRPr="00D24BED">
        <w:rPr>
          <w:shd w:val="clear" w:color="auto" w:fill="FFFFFF"/>
        </w:rPr>
        <w:t>),  ФСБУ "Подходы к формированию бухгалтерской (финансовой) отчетности сектора государственного управления и информации по статистике государственных финансов" (Приказ Минфина РФ </w:t>
      </w:r>
      <w:hyperlink r:id="rId61" w:anchor="l0" w:history="1">
        <w:r w:rsidRPr="00D24BED">
          <w:rPr>
            <w:rStyle w:val="ae"/>
            <w:color w:val="auto"/>
            <w:shd w:val="clear" w:color="auto" w:fill="FFFFFF"/>
          </w:rPr>
          <w:t>от 13.10.2021</w:t>
        </w:r>
        <w:proofErr w:type="gramEnd"/>
        <w:r w:rsidRPr="00D24BED">
          <w:rPr>
            <w:rStyle w:val="ae"/>
            <w:color w:val="auto"/>
            <w:shd w:val="clear" w:color="auto" w:fill="FFFFFF"/>
          </w:rPr>
          <w:t xml:space="preserve"> </w:t>
        </w:r>
        <w:proofErr w:type="gramStart"/>
        <w:r w:rsidRPr="00D24BED">
          <w:rPr>
            <w:rStyle w:val="ae"/>
            <w:color w:val="auto"/>
            <w:shd w:val="clear" w:color="auto" w:fill="FFFFFF"/>
          </w:rPr>
          <w:t>N 152н</w:t>
        </w:r>
      </w:hyperlink>
      <w:r w:rsidRPr="00D24BED">
        <w:rPr>
          <w:shd w:val="clear" w:color="auto" w:fill="FFFFFF"/>
        </w:rPr>
        <w:t>).</w:t>
      </w:r>
      <w:proofErr w:type="gramEnd"/>
    </w:p>
    <w:p w:rsidR="00B60AFD" w:rsidRPr="00D24BED" w:rsidRDefault="00B60AFD" w:rsidP="00B60AFD">
      <w:pPr>
        <w:pStyle w:val="ac"/>
        <w:spacing w:before="0" w:beforeAutospacing="0" w:after="0" w:afterAutospacing="0"/>
        <w:rPr>
          <w:bCs/>
        </w:rPr>
      </w:pPr>
      <w:r w:rsidRPr="00D24BED">
        <w:rPr>
          <w:bCs/>
        </w:rPr>
        <w:t xml:space="preserve">    3. Внешней проверкой установлен необходимый уровень достоверности бюджетной отчетности главных администраторов бюджетных средств, а также полноты и правильности составления отчета об исполнении бюджета за 2023 год.</w:t>
      </w:r>
    </w:p>
    <w:p w:rsidR="00B60AFD" w:rsidRPr="00D24BED" w:rsidRDefault="00B60AFD" w:rsidP="00B60AFD">
      <w:pPr>
        <w:pStyle w:val="ac"/>
        <w:spacing w:before="0" w:beforeAutospacing="0" w:after="0" w:afterAutospacing="0"/>
        <w:rPr>
          <w:bCs/>
        </w:rPr>
      </w:pPr>
      <w:r w:rsidRPr="00D24BED">
        <w:rPr>
          <w:bCs/>
        </w:rPr>
        <w:lastRenderedPageBreak/>
        <w:t xml:space="preserve">    4. Случаев превышения фактического финансирования по отчету об исполнении бюджета над утвержденными назначениями не установлено.</w:t>
      </w:r>
    </w:p>
    <w:p w:rsidR="00B60AFD" w:rsidRPr="00D24BED" w:rsidRDefault="00B60AFD" w:rsidP="00B60AFD">
      <w:pPr>
        <w:autoSpaceDE w:val="0"/>
        <w:autoSpaceDN w:val="0"/>
        <w:adjustRightInd w:val="0"/>
        <w:jc w:val="both"/>
        <w:rPr>
          <w:bCs/>
        </w:rPr>
      </w:pPr>
      <w:r w:rsidRPr="00D24BED">
        <w:rPr>
          <w:bCs/>
        </w:rPr>
        <w:t xml:space="preserve">    5. Доходная и расходная часть местного  бюджета исполнена в 2023 году в соответствии с законодательством.</w:t>
      </w:r>
    </w:p>
    <w:p w:rsidR="00B60AFD" w:rsidRPr="00D24BED" w:rsidRDefault="00B60AFD" w:rsidP="00B60AFD">
      <w:pPr>
        <w:autoSpaceDE w:val="0"/>
        <w:autoSpaceDN w:val="0"/>
        <w:adjustRightInd w:val="0"/>
        <w:jc w:val="both"/>
        <w:rPr>
          <w:bCs/>
        </w:rPr>
      </w:pPr>
      <w:r w:rsidRPr="00D24BED">
        <w:rPr>
          <w:bCs/>
        </w:rPr>
        <w:t xml:space="preserve">    6. Дефицит  бюджета за 2023 год составил 176,18 тыс. руб. </w:t>
      </w:r>
    </w:p>
    <w:p w:rsidR="00B60AFD" w:rsidRPr="00D24BED" w:rsidRDefault="00B60AFD" w:rsidP="00B60AFD">
      <w:pPr>
        <w:autoSpaceDE w:val="0"/>
        <w:autoSpaceDN w:val="0"/>
        <w:adjustRightInd w:val="0"/>
        <w:jc w:val="both"/>
        <w:rPr>
          <w:bCs/>
        </w:rPr>
      </w:pPr>
      <w:r w:rsidRPr="00D24BED">
        <w:rPr>
          <w:bCs/>
        </w:rPr>
        <w:t xml:space="preserve">    7. Муниципальный долг на 01.01.2024 г. отсутствует.</w:t>
      </w:r>
    </w:p>
    <w:p w:rsidR="00B60AFD" w:rsidRPr="00D24BED" w:rsidRDefault="00B60AFD" w:rsidP="00B60AFD">
      <w:pPr>
        <w:autoSpaceDE w:val="0"/>
        <w:autoSpaceDN w:val="0"/>
        <w:adjustRightInd w:val="0"/>
        <w:jc w:val="both"/>
      </w:pPr>
      <w:r w:rsidRPr="00D24BED">
        <w:rPr>
          <w:bCs/>
        </w:rPr>
        <w:t xml:space="preserve">    8. В годовом отчете, представлены все необходимые сведения по исполнению бюджета, п</w:t>
      </w:r>
      <w:r w:rsidRPr="00D24BED">
        <w:t xml:space="preserve">ри проверке контрольных соотношений между показателями форм бюджетной отчетности несоответствия показателей не установлено, показатели форм взаимоувязаны. </w:t>
      </w:r>
    </w:p>
    <w:p w:rsidR="00B60AFD" w:rsidRPr="00D24BED" w:rsidRDefault="00B60AFD" w:rsidP="00B60AFD">
      <w:pPr>
        <w:autoSpaceDE w:val="0"/>
        <w:autoSpaceDN w:val="0"/>
        <w:adjustRightInd w:val="0"/>
        <w:jc w:val="both"/>
        <w:rPr>
          <w:bCs/>
        </w:rPr>
      </w:pPr>
      <w:r w:rsidRPr="00D24BED">
        <w:rPr>
          <w:bCs/>
        </w:rPr>
        <w:t xml:space="preserve">    9. Годовой отчет об исполнении бюджета </w:t>
      </w:r>
      <w:proofErr w:type="spellStart"/>
      <w:r w:rsidRPr="00D24BED">
        <w:rPr>
          <w:bCs/>
        </w:rPr>
        <w:t>Каскатского</w:t>
      </w:r>
      <w:proofErr w:type="spellEnd"/>
      <w:r w:rsidRPr="00D24BED">
        <w:rPr>
          <w:bCs/>
        </w:rPr>
        <w:t xml:space="preserve"> сельского поселения </w:t>
      </w:r>
      <w:proofErr w:type="spellStart"/>
      <w:r w:rsidRPr="00D24BED">
        <w:rPr>
          <w:bCs/>
        </w:rPr>
        <w:t>Исилькульского</w:t>
      </w:r>
      <w:proofErr w:type="spellEnd"/>
      <w:r w:rsidRPr="00D24BED">
        <w:rPr>
          <w:bCs/>
        </w:rPr>
        <w:t xml:space="preserve"> муниципального района за 2023 год признан соответствующим требованиям бюджетного законодательства.</w:t>
      </w:r>
    </w:p>
    <w:p w:rsidR="00B60AFD" w:rsidRPr="00D24BED" w:rsidRDefault="00B60AFD" w:rsidP="00B60AFD">
      <w:pPr>
        <w:spacing w:before="100" w:beforeAutospacing="1" w:after="100" w:afterAutospacing="1"/>
        <w:jc w:val="both"/>
      </w:pPr>
      <w:proofErr w:type="spellStart"/>
      <w:r w:rsidRPr="00D24BED">
        <w:rPr>
          <w:iCs/>
        </w:rPr>
        <w:t>Финансово-эконмическая</w:t>
      </w:r>
      <w:proofErr w:type="spellEnd"/>
      <w:r w:rsidRPr="00D24BED">
        <w:rPr>
          <w:iCs/>
        </w:rPr>
        <w:t xml:space="preserve"> комиссия считает возможным предложить Совету депутатов рассмотреть отчет «об исполнении бюджета </w:t>
      </w:r>
      <w:proofErr w:type="spellStart"/>
      <w:r w:rsidRPr="00D24BED">
        <w:t>Каскат</w:t>
      </w:r>
      <w:r w:rsidRPr="00D24BED">
        <w:rPr>
          <w:iCs/>
        </w:rPr>
        <w:t>ского</w:t>
      </w:r>
      <w:proofErr w:type="spellEnd"/>
      <w:r w:rsidRPr="00D24BED">
        <w:rPr>
          <w:rFonts w:eastAsia="Calibri"/>
          <w:lang w:eastAsia="en-US"/>
        </w:rPr>
        <w:t xml:space="preserve"> сельского</w:t>
      </w:r>
      <w:r w:rsidRPr="00D24BED">
        <w:rPr>
          <w:iCs/>
        </w:rPr>
        <w:t xml:space="preserve"> поселения за 2023 год».</w:t>
      </w:r>
    </w:p>
    <w:p w:rsidR="00B60AFD" w:rsidRPr="00D24BED" w:rsidRDefault="00B60AFD" w:rsidP="00B60AFD">
      <w:pPr>
        <w:jc w:val="both"/>
        <w:rPr>
          <w:sz w:val="28"/>
          <w:szCs w:val="28"/>
        </w:rPr>
      </w:pPr>
    </w:p>
    <w:p w:rsidR="00B60AFD" w:rsidRPr="00D24BED" w:rsidRDefault="00B60AFD" w:rsidP="00B60AFD">
      <w:pPr>
        <w:jc w:val="both"/>
        <w:rPr>
          <w:sz w:val="28"/>
          <w:szCs w:val="28"/>
        </w:rPr>
      </w:pPr>
    </w:p>
    <w:p w:rsidR="00B60AFD" w:rsidRPr="00D24BED" w:rsidRDefault="00B60AFD" w:rsidP="00B60AFD">
      <w:pPr>
        <w:jc w:val="both"/>
      </w:pPr>
      <w:r w:rsidRPr="00D24BED">
        <w:t xml:space="preserve">Председатель                                                                                                </w:t>
      </w:r>
    </w:p>
    <w:p w:rsidR="00B60AFD" w:rsidRPr="00D24BED" w:rsidRDefault="00B60AFD" w:rsidP="00B60AFD">
      <w:pPr>
        <w:spacing w:after="120"/>
        <w:jc w:val="both"/>
      </w:pPr>
      <w:r w:rsidRPr="00D24BED">
        <w:t>финансово-экономической комиссии                                                    Скляр Л.Н.</w:t>
      </w:r>
    </w:p>
    <w:p w:rsidR="00B60AFD" w:rsidRPr="00D24BED" w:rsidRDefault="00B60AFD" w:rsidP="00B60AFD">
      <w:pPr>
        <w:spacing w:after="120"/>
        <w:jc w:val="both"/>
      </w:pPr>
      <w:r w:rsidRPr="00D24BED">
        <w:t>Члены комиссии:</w:t>
      </w:r>
    </w:p>
    <w:p w:rsidR="00B60AFD" w:rsidRPr="00D24BED" w:rsidRDefault="00B60AFD" w:rsidP="00B60AFD">
      <w:pPr>
        <w:spacing w:after="120"/>
        <w:jc w:val="both"/>
      </w:pPr>
      <w:proofErr w:type="spellStart"/>
      <w:r w:rsidRPr="00D24BED">
        <w:t>Куттугужинов</w:t>
      </w:r>
      <w:proofErr w:type="spellEnd"/>
      <w:r w:rsidRPr="00D24BED">
        <w:t xml:space="preserve"> М.А.</w:t>
      </w:r>
    </w:p>
    <w:p w:rsidR="00B60AFD" w:rsidRPr="00D24BED" w:rsidRDefault="00B60AFD" w:rsidP="00B60AFD">
      <w:pPr>
        <w:spacing w:after="120"/>
        <w:jc w:val="both"/>
      </w:pPr>
      <w:proofErr w:type="spellStart"/>
      <w:r w:rsidRPr="00D24BED">
        <w:t>Хасенова</w:t>
      </w:r>
      <w:proofErr w:type="spellEnd"/>
      <w:r w:rsidRPr="00D24BED">
        <w:t xml:space="preserve"> А.А.</w:t>
      </w:r>
    </w:p>
    <w:p w:rsidR="00B60AFD" w:rsidRPr="00D24BED" w:rsidRDefault="00B60AFD" w:rsidP="00B60AFD">
      <w:pPr>
        <w:spacing w:after="120"/>
        <w:jc w:val="both"/>
      </w:pPr>
    </w:p>
    <w:p w:rsidR="00B60AFD" w:rsidRPr="00D24BED" w:rsidRDefault="00B60AFD" w:rsidP="00B60AFD">
      <w:pPr>
        <w:spacing w:after="120"/>
        <w:jc w:val="both"/>
      </w:pPr>
    </w:p>
    <w:p w:rsidR="00B60AFD" w:rsidRPr="00D24BED" w:rsidRDefault="00B60AFD" w:rsidP="00B60AFD">
      <w:pPr>
        <w:spacing w:after="120"/>
        <w:jc w:val="both"/>
      </w:pPr>
    </w:p>
    <w:p w:rsidR="00B60AFD" w:rsidRPr="001376F2" w:rsidRDefault="00B60AFD" w:rsidP="00B60AFD">
      <w:pPr>
        <w:spacing w:after="120"/>
        <w:jc w:val="both"/>
        <w:rPr>
          <w:color w:val="FF0000"/>
        </w:rPr>
      </w:pPr>
    </w:p>
    <w:p w:rsidR="00B60AFD" w:rsidRPr="001376F2" w:rsidRDefault="00B60AFD" w:rsidP="00B60AFD">
      <w:pPr>
        <w:spacing w:after="120"/>
        <w:jc w:val="both"/>
        <w:rPr>
          <w:color w:val="FF0000"/>
        </w:rPr>
      </w:pPr>
    </w:p>
    <w:p w:rsidR="00B60AFD" w:rsidRPr="001376F2" w:rsidRDefault="00B60AFD" w:rsidP="00B60AFD">
      <w:pPr>
        <w:rPr>
          <w:color w:val="FF0000"/>
        </w:rPr>
      </w:pPr>
    </w:p>
    <w:p w:rsidR="00142E62" w:rsidRDefault="00142E62"/>
    <w:sectPr w:rsidR="00142E62" w:rsidSect="000E1B76">
      <w:headerReference w:type="even" r:id="rId62"/>
      <w:headerReference w:type="default" r:id="rId63"/>
      <w:footerReference w:type="even" r:id="rId64"/>
      <w:footerReference w:type="default" r:id="rId65"/>
      <w:headerReference w:type="first" r:id="rId66"/>
      <w:footerReference w:type="first" r:id="rId67"/>
      <w:pgSz w:w="11906" w:h="16838" w:code="9"/>
      <w:pgMar w:top="426" w:right="850" w:bottom="709"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BD8" w:rsidRDefault="00494BD8" w:rsidP="00C94153">
      <w:r>
        <w:separator/>
      </w:r>
    </w:p>
  </w:endnote>
  <w:endnote w:type="continuationSeparator" w:id="0">
    <w:p w:rsidR="00494BD8" w:rsidRDefault="00494BD8" w:rsidP="00C94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76" w:rsidRDefault="00494BD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76" w:rsidRDefault="00494BD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76" w:rsidRDefault="00494B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BD8" w:rsidRDefault="00494BD8" w:rsidP="00C94153">
      <w:r>
        <w:separator/>
      </w:r>
    </w:p>
  </w:footnote>
  <w:footnote w:type="continuationSeparator" w:id="0">
    <w:p w:rsidR="00494BD8" w:rsidRDefault="00494BD8" w:rsidP="00C94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76" w:rsidRDefault="00494BD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76" w:rsidRDefault="00B60AFD" w:rsidP="000E1B76">
    <w:pPr>
      <w:pStyle w:val="a6"/>
      <w:tabs>
        <w:tab w:val="left" w:pos="782"/>
      </w:tabs>
    </w:pPr>
    <w:r>
      <w:tab/>
    </w:r>
    <w:r>
      <w:tab/>
    </w:r>
    <w:r w:rsidR="00CC478D">
      <w:fldChar w:fldCharType="begin"/>
    </w:r>
    <w:r>
      <w:instrText>PAGE   \* MERGEFORMAT</w:instrText>
    </w:r>
    <w:r w:rsidR="00CC478D">
      <w:fldChar w:fldCharType="separate"/>
    </w:r>
    <w:r w:rsidR="00F0040F">
      <w:rPr>
        <w:noProof/>
      </w:rPr>
      <w:t>2</w:t>
    </w:r>
    <w:r w:rsidR="00CC478D">
      <w:fldChar w:fldCharType="end"/>
    </w:r>
  </w:p>
  <w:p w:rsidR="000E1B76" w:rsidRDefault="00494BD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92806"/>
      <w:docPartObj>
        <w:docPartGallery w:val="Page Numbers (Top of Page)"/>
        <w:docPartUnique/>
      </w:docPartObj>
    </w:sdtPr>
    <w:sdtContent>
      <w:p w:rsidR="000E1B76" w:rsidRDefault="00CC478D">
        <w:pPr>
          <w:pStyle w:val="a6"/>
          <w:jc w:val="center"/>
        </w:pPr>
        <w:r>
          <w:fldChar w:fldCharType="begin"/>
        </w:r>
        <w:r w:rsidR="00B60AFD">
          <w:instrText xml:space="preserve"> PAGE   \* MERGEFORMAT </w:instrText>
        </w:r>
        <w:r>
          <w:fldChar w:fldCharType="separate"/>
        </w:r>
        <w:r w:rsidR="00F0040F">
          <w:rPr>
            <w:noProof/>
          </w:rPr>
          <w:t>1</w:t>
        </w:r>
        <w:r>
          <w:fldChar w:fldCharType="end"/>
        </w:r>
      </w:p>
    </w:sdtContent>
  </w:sdt>
  <w:p w:rsidR="000E1B76" w:rsidRDefault="00494B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44F"/>
    <w:multiLevelType w:val="multilevel"/>
    <w:tmpl w:val="7C240F50"/>
    <w:lvl w:ilvl="0">
      <w:start w:val="1"/>
      <w:numFmt w:val="decimal"/>
      <w:lvlText w:val="%1."/>
      <w:lvlJc w:val="left"/>
      <w:pPr>
        <w:ind w:left="810" w:hanging="360"/>
      </w:pPr>
      <w:rPr>
        <w:rFonts w:hint="default"/>
        <w:b/>
      </w:rPr>
    </w:lvl>
    <w:lvl w:ilvl="1">
      <w:start w:val="1"/>
      <w:numFmt w:val="decimal"/>
      <w:isLgl/>
      <w:lvlText w:val="%1.%2."/>
      <w:lvlJc w:val="left"/>
      <w:pPr>
        <w:ind w:left="1738" w:hanging="1170"/>
      </w:pPr>
      <w:rPr>
        <w:rFonts w:hint="default"/>
      </w:rPr>
    </w:lvl>
    <w:lvl w:ilvl="2">
      <w:start w:val="1"/>
      <w:numFmt w:val="decimal"/>
      <w:isLgl/>
      <w:lvlText w:val="%1.%2.%3."/>
      <w:lvlJc w:val="left"/>
      <w:pPr>
        <w:ind w:left="1620" w:hanging="1170"/>
      </w:pPr>
      <w:rPr>
        <w:rFonts w:hint="default"/>
      </w:rPr>
    </w:lvl>
    <w:lvl w:ilvl="3">
      <w:start w:val="1"/>
      <w:numFmt w:val="decimal"/>
      <w:isLgl/>
      <w:lvlText w:val="%1.%2.%3.%4."/>
      <w:lvlJc w:val="left"/>
      <w:pPr>
        <w:ind w:left="1620" w:hanging="1170"/>
      </w:pPr>
      <w:rPr>
        <w:rFonts w:hint="default"/>
      </w:rPr>
    </w:lvl>
    <w:lvl w:ilvl="4">
      <w:start w:val="1"/>
      <w:numFmt w:val="decimal"/>
      <w:isLgl/>
      <w:lvlText w:val="%1.%2.%3.%4.%5."/>
      <w:lvlJc w:val="left"/>
      <w:pPr>
        <w:ind w:left="1620" w:hanging="117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
    <w:nsid w:val="0DC87005"/>
    <w:multiLevelType w:val="hybridMultilevel"/>
    <w:tmpl w:val="999A444E"/>
    <w:lvl w:ilvl="0" w:tplc="03DC4BF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0FC82E2A"/>
    <w:multiLevelType w:val="multilevel"/>
    <w:tmpl w:val="3E7A452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1DCF4293"/>
    <w:multiLevelType w:val="multilevel"/>
    <w:tmpl w:val="A624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0F2A95"/>
    <w:multiLevelType w:val="multilevel"/>
    <w:tmpl w:val="C34CD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517B6B"/>
    <w:multiLevelType w:val="hybridMultilevel"/>
    <w:tmpl w:val="B64E4724"/>
    <w:lvl w:ilvl="0" w:tplc="AEB24F12">
      <w:start w:val="5"/>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6">
    <w:nsid w:val="264A1759"/>
    <w:multiLevelType w:val="hybridMultilevel"/>
    <w:tmpl w:val="D550E1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7">
    <w:nsid w:val="27994E2E"/>
    <w:multiLevelType w:val="hybridMultilevel"/>
    <w:tmpl w:val="77928F62"/>
    <w:lvl w:ilvl="0" w:tplc="11C63F1C">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A4148DA"/>
    <w:multiLevelType w:val="multilevel"/>
    <w:tmpl w:val="415263EE"/>
    <w:lvl w:ilvl="0">
      <w:start w:val="3"/>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9">
    <w:nsid w:val="2C546013"/>
    <w:multiLevelType w:val="multilevel"/>
    <w:tmpl w:val="2690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158A"/>
    <w:multiLevelType w:val="multilevel"/>
    <w:tmpl w:val="21865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B6B31"/>
    <w:multiLevelType w:val="multilevel"/>
    <w:tmpl w:val="EEEC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1B3898"/>
    <w:multiLevelType w:val="multilevel"/>
    <w:tmpl w:val="26D63B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D827142"/>
    <w:multiLevelType w:val="hybridMultilevel"/>
    <w:tmpl w:val="EEDE506A"/>
    <w:lvl w:ilvl="0" w:tplc="5986C772">
      <w:start w:val="1"/>
      <w:numFmt w:val="decimal"/>
      <w:lvlText w:val="%1)"/>
      <w:lvlJc w:val="left"/>
      <w:pPr>
        <w:ind w:left="975" w:hanging="45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3E0914DA"/>
    <w:multiLevelType w:val="hybridMultilevel"/>
    <w:tmpl w:val="48E01D02"/>
    <w:lvl w:ilvl="0" w:tplc="BE56901E">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40E27177"/>
    <w:multiLevelType w:val="multilevel"/>
    <w:tmpl w:val="42448182"/>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nsid w:val="435146FE"/>
    <w:multiLevelType w:val="hybridMultilevel"/>
    <w:tmpl w:val="450C641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704666"/>
    <w:multiLevelType w:val="hybridMultilevel"/>
    <w:tmpl w:val="F5623EE8"/>
    <w:lvl w:ilvl="0" w:tplc="A85AF0A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495B7477"/>
    <w:multiLevelType w:val="hybridMultilevel"/>
    <w:tmpl w:val="0D6AF9C6"/>
    <w:lvl w:ilvl="0" w:tplc="BF8AB840">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9">
    <w:nsid w:val="4D073E5A"/>
    <w:multiLevelType w:val="hybridMultilevel"/>
    <w:tmpl w:val="C1B4AD06"/>
    <w:lvl w:ilvl="0" w:tplc="24C2A57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5401624E"/>
    <w:multiLevelType w:val="multilevel"/>
    <w:tmpl w:val="3E7A452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1">
    <w:nsid w:val="5C0867F7"/>
    <w:multiLevelType w:val="hybridMultilevel"/>
    <w:tmpl w:val="1562ACBA"/>
    <w:lvl w:ilvl="0" w:tplc="1AFA564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610012A1"/>
    <w:multiLevelType w:val="hybridMultilevel"/>
    <w:tmpl w:val="B64E4724"/>
    <w:lvl w:ilvl="0" w:tplc="AEB24F12">
      <w:start w:val="5"/>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3">
    <w:nsid w:val="66E10AC6"/>
    <w:multiLevelType w:val="hybridMultilevel"/>
    <w:tmpl w:val="E7A066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7E64AD"/>
    <w:multiLevelType w:val="multilevel"/>
    <w:tmpl w:val="0E5A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F57E71"/>
    <w:multiLevelType w:val="hybridMultilevel"/>
    <w:tmpl w:val="EE14250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72307A3B"/>
    <w:multiLevelType w:val="multilevel"/>
    <w:tmpl w:val="D50248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24808DC"/>
    <w:multiLevelType w:val="hybridMultilevel"/>
    <w:tmpl w:val="11A42DDE"/>
    <w:lvl w:ilvl="0" w:tplc="6DF01CE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8">
    <w:nsid w:val="798B291B"/>
    <w:multiLevelType w:val="multilevel"/>
    <w:tmpl w:val="4E88188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12"/>
  </w:num>
  <w:num w:numId="2">
    <w:abstractNumId w:val="6"/>
  </w:num>
  <w:num w:numId="3">
    <w:abstractNumId w:val="16"/>
  </w:num>
  <w:num w:numId="4">
    <w:abstractNumId w:val="20"/>
  </w:num>
  <w:num w:numId="5">
    <w:abstractNumId w:val="2"/>
  </w:num>
  <w:num w:numId="6">
    <w:abstractNumId w:val="23"/>
  </w:num>
  <w:num w:numId="7">
    <w:abstractNumId w:val="17"/>
  </w:num>
  <w:num w:numId="8">
    <w:abstractNumId w:val="0"/>
  </w:num>
  <w:num w:numId="9">
    <w:abstractNumId w:val="28"/>
  </w:num>
  <w:num w:numId="10">
    <w:abstractNumId w:val="18"/>
  </w:num>
  <w:num w:numId="11">
    <w:abstractNumId w:val="15"/>
  </w:num>
  <w:num w:numId="12">
    <w:abstractNumId w:val="22"/>
  </w:num>
  <w:num w:numId="13">
    <w:abstractNumId w:val="7"/>
  </w:num>
  <w:num w:numId="14">
    <w:abstractNumId w:val="1"/>
  </w:num>
  <w:num w:numId="15">
    <w:abstractNumId w:val="27"/>
  </w:num>
  <w:num w:numId="16">
    <w:abstractNumId w:val="21"/>
  </w:num>
  <w:num w:numId="17">
    <w:abstractNumId w:val="19"/>
  </w:num>
  <w:num w:numId="18">
    <w:abstractNumId w:val="5"/>
  </w:num>
  <w:num w:numId="19">
    <w:abstractNumId w:val="13"/>
  </w:num>
  <w:num w:numId="20">
    <w:abstractNumId w:val="14"/>
  </w:num>
  <w:num w:numId="21">
    <w:abstractNumId w:val="9"/>
  </w:num>
  <w:num w:numId="22">
    <w:abstractNumId w:val="11"/>
  </w:num>
  <w:num w:numId="23">
    <w:abstractNumId w:val="26"/>
  </w:num>
  <w:num w:numId="24">
    <w:abstractNumId w:val="10"/>
  </w:num>
  <w:num w:numId="25">
    <w:abstractNumId w:val="3"/>
  </w:num>
  <w:num w:numId="26">
    <w:abstractNumId w:val="24"/>
  </w:num>
  <w:num w:numId="27">
    <w:abstractNumId w:val="4"/>
  </w:num>
  <w:num w:numId="28">
    <w:abstractNumId w:val="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60AFD"/>
    <w:rsid w:val="00142E62"/>
    <w:rsid w:val="00256E67"/>
    <w:rsid w:val="003A69A0"/>
    <w:rsid w:val="00494BD8"/>
    <w:rsid w:val="004E0AB7"/>
    <w:rsid w:val="00620A79"/>
    <w:rsid w:val="00A54EB8"/>
    <w:rsid w:val="00A94740"/>
    <w:rsid w:val="00B60AFD"/>
    <w:rsid w:val="00BD168F"/>
    <w:rsid w:val="00C94153"/>
    <w:rsid w:val="00CA4808"/>
    <w:rsid w:val="00CC478D"/>
    <w:rsid w:val="00DE4046"/>
    <w:rsid w:val="00DE4284"/>
    <w:rsid w:val="00F0040F"/>
    <w:rsid w:val="00F94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AFD"/>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B60AFD"/>
    <w:pPr>
      <w:spacing w:before="100" w:beforeAutospacing="1" w:after="100" w:afterAutospacing="1"/>
      <w:outlineLvl w:val="1"/>
    </w:pPr>
    <w:rPr>
      <w:b/>
      <w:bCs/>
      <w:color w:val="2F4047"/>
    </w:rPr>
  </w:style>
  <w:style w:type="paragraph" w:styleId="7">
    <w:name w:val="heading 7"/>
    <w:basedOn w:val="a"/>
    <w:next w:val="a"/>
    <w:link w:val="70"/>
    <w:semiHidden/>
    <w:unhideWhenUsed/>
    <w:qFormat/>
    <w:rsid w:val="00B60A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0AFD"/>
    <w:rPr>
      <w:rFonts w:ascii="Times New Roman" w:eastAsia="Times New Roman" w:hAnsi="Times New Roman" w:cs="Times New Roman"/>
      <w:b/>
      <w:bCs/>
      <w:color w:val="2F4047"/>
      <w:sz w:val="24"/>
      <w:szCs w:val="24"/>
      <w:lang w:eastAsia="ru-RU"/>
    </w:rPr>
  </w:style>
  <w:style w:type="character" w:customStyle="1" w:styleId="70">
    <w:name w:val="Заголовок 7 Знак"/>
    <w:basedOn w:val="a0"/>
    <w:link w:val="7"/>
    <w:semiHidden/>
    <w:rsid w:val="00B60AFD"/>
    <w:rPr>
      <w:rFonts w:asciiTheme="majorHAnsi" w:eastAsiaTheme="majorEastAsia" w:hAnsiTheme="majorHAnsi" w:cstheme="majorBidi"/>
      <w:i/>
      <w:iCs/>
      <w:color w:val="404040" w:themeColor="text1" w:themeTint="BF"/>
      <w:sz w:val="24"/>
      <w:szCs w:val="24"/>
      <w:lang w:eastAsia="ru-RU"/>
    </w:rPr>
  </w:style>
  <w:style w:type="paragraph" w:styleId="a3">
    <w:name w:val="List Paragraph"/>
    <w:basedOn w:val="a"/>
    <w:uiPriority w:val="34"/>
    <w:qFormat/>
    <w:rsid w:val="00B60AFD"/>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rsid w:val="00B60AFD"/>
    <w:rPr>
      <w:rFonts w:ascii="Tahoma" w:hAnsi="Tahoma"/>
      <w:sz w:val="16"/>
      <w:szCs w:val="16"/>
    </w:rPr>
  </w:style>
  <w:style w:type="character" w:customStyle="1" w:styleId="a5">
    <w:name w:val="Текст выноски Знак"/>
    <w:basedOn w:val="a0"/>
    <w:link w:val="a4"/>
    <w:rsid w:val="00B60AFD"/>
    <w:rPr>
      <w:rFonts w:ascii="Tahoma" w:eastAsia="Times New Roman" w:hAnsi="Tahoma" w:cs="Times New Roman"/>
      <w:sz w:val="16"/>
      <w:szCs w:val="16"/>
      <w:lang w:eastAsia="ru-RU"/>
    </w:rPr>
  </w:style>
  <w:style w:type="paragraph" w:styleId="a6">
    <w:name w:val="header"/>
    <w:basedOn w:val="a"/>
    <w:link w:val="a7"/>
    <w:uiPriority w:val="99"/>
    <w:rsid w:val="00B60AFD"/>
    <w:pPr>
      <w:tabs>
        <w:tab w:val="center" w:pos="4677"/>
        <w:tab w:val="right" w:pos="9355"/>
      </w:tabs>
    </w:pPr>
  </w:style>
  <w:style w:type="character" w:customStyle="1" w:styleId="a7">
    <w:name w:val="Верхний колонтитул Знак"/>
    <w:basedOn w:val="a0"/>
    <w:link w:val="a6"/>
    <w:uiPriority w:val="99"/>
    <w:rsid w:val="00B60AFD"/>
    <w:rPr>
      <w:rFonts w:ascii="Times New Roman" w:eastAsia="Times New Roman" w:hAnsi="Times New Roman" w:cs="Times New Roman"/>
      <w:sz w:val="24"/>
      <w:szCs w:val="24"/>
      <w:lang w:eastAsia="ru-RU"/>
    </w:rPr>
  </w:style>
  <w:style w:type="paragraph" w:styleId="a8">
    <w:name w:val="footer"/>
    <w:basedOn w:val="a"/>
    <w:link w:val="a9"/>
    <w:uiPriority w:val="99"/>
    <w:rsid w:val="00B60AFD"/>
    <w:pPr>
      <w:tabs>
        <w:tab w:val="center" w:pos="4677"/>
        <w:tab w:val="right" w:pos="9355"/>
      </w:tabs>
    </w:pPr>
  </w:style>
  <w:style w:type="character" w:customStyle="1" w:styleId="a9">
    <w:name w:val="Нижний колонтитул Знак"/>
    <w:basedOn w:val="a0"/>
    <w:link w:val="a8"/>
    <w:uiPriority w:val="99"/>
    <w:rsid w:val="00B60AFD"/>
    <w:rPr>
      <w:rFonts w:ascii="Times New Roman" w:eastAsia="Times New Roman" w:hAnsi="Times New Roman" w:cs="Times New Roman"/>
      <w:sz w:val="24"/>
      <w:szCs w:val="24"/>
      <w:lang w:eastAsia="ru-RU"/>
    </w:rPr>
  </w:style>
  <w:style w:type="paragraph" w:customStyle="1" w:styleId="ConsPlusNormal">
    <w:name w:val="ConsPlusNormal"/>
    <w:rsid w:val="00B60AFD"/>
    <w:pPr>
      <w:widowControl w:val="0"/>
      <w:autoSpaceDE w:val="0"/>
      <w:autoSpaceDN w:val="0"/>
      <w:adjustRightInd w:val="0"/>
      <w:ind w:firstLine="720"/>
    </w:pPr>
    <w:rPr>
      <w:rFonts w:ascii="Arial" w:eastAsia="Times New Roman" w:hAnsi="Arial" w:cs="Arial"/>
      <w:sz w:val="20"/>
      <w:szCs w:val="20"/>
      <w:lang w:eastAsia="ru-RU"/>
    </w:rPr>
  </w:style>
  <w:style w:type="character" w:styleId="aa">
    <w:name w:val="Strong"/>
    <w:qFormat/>
    <w:rsid w:val="00B60AFD"/>
    <w:rPr>
      <w:b/>
      <w:bCs/>
    </w:rPr>
  </w:style>
  <w:style w:type="character" w:customStyle="1" w:styleId="ab">
    <w:name w:val="Гипертекстовая ссылка"/>
    <w:basedOn w:val="a0"/>
    <w:uiPriority w:val="99"/>
    <w:rsid w:val="00B60AFD"/>
    <w:rPr>
      <w:color w:val="106BBE"/>
    </w:rPr>
  </w:style>
  <w:style w:type="paragraph" w:styleId="ac">
    <w:name w:val="Normal (Web)"/>
    <w:basedOn w:val="a"/>
    <w:uiPriority w:val="99"/>
    <w:unhideWhenUsed/>
    <w:rsid w:val="00B60AFD"/>
    <w:pPr>
      <w:spacing w:before="100" w:beforeAutospacing="1" w:after="100" w:afterAutospacing="1"/>
    </w:pPr>
  </w:style>
  <w:style w:type="paragraph" w:styleId="3">
    <w:name w:val="Body Text Indent 3"/>
    <w:basedOn w:val="a"/>
    <w:link w:val="30"/>
    <w:rsid w:val="00B60AFD"/>
    <w:pPr>
      <w:ind w:left="142" w:hanging="142"/>
      <w:jc w:val="both"/>
    </w:pPr>
    <w:rPr>
      <w:rFonts w:eastAsia="Calibri"/>
      <w:szCs w:val="20"/>
    </w:rPr>
  </w:style>
  <w:style w:type="character" w:customStyle="1" w:styleId="30">
    <w:name w:val="Основной текст с отступом 3 Знак"/>
    <w:basedOn w:val="a0"/>
    <w:link w:val="3"/>
    <w:rsid w:val="00B60AFD"/>
    <w:rPr>
      <w:rFonts w:ascii="Times New Roman" w:eastAsia="Calibri" w:hAnsi="Times New Roman" w:cs="Times New Roman"/>
      <w:sz w:val="24"/>
      <w:szCs w:val="20"/>
      <w:lang w:eastAsia="ru-RU"/>
    </w:rPr>
  </w:style>
  <w:style w:type="table" w:styleId="ad">
    <w:name w:val="Table Grid"/>
    <w:basedOn w:val="a1"/>
    <w:rsid w:val="00B60AFD"/>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rsid w:val="00B60AFD"/>
    <w:rPr>
      <w:color w:val="0000FF"/>
      <w:u w:val="single"/>
    </w:rPr>
  </w:style>
  <w:style w:type="paragraph" w:styleId="af">
    <w:name w:val="No Spacing"/>
    <w:uiPriority w:val="1"/>
    <w:qFormat/>
    <w:rsid w:val="00B60AFD"/>
    <w:rPr>
      <w:rFonts w:ascii="Times New Roman" w:eastAsia="Times New Roman" w:hAnsi="Times New Roman" w:cs="Times New Roman"/>
      <w:sz w:val="24"/>
      <w:szCs w:val="24"/>
      <w:lang w:eastAsia="ru-RU"/>
    </w:rPr>
  </w:style>
  <w:style w:type="paragraph" w:customStyle="1" w:styleId="ConsPlusTitle">
    <w:name w:val="ConsPlusTitle"/>
    <w:rsid w:val="00B60AFD"/>
    <w:pPr>
      <w:widowControl w:val="0"/>
      <w:autoSpaceDE w:val="0"/>
      <w:autoSpaceDN w:val="0"/>
      <w:adjustRightInd w:val="0"/>
    </w:pPr>
    <w:rPr>
      <w:rFonts w:ascii="Times New Roman" w:eastAsia="Times New Roman" w:hAnsi="Times New Roman" w:cs="Times New Roman"/>
      <w:b/>
      <w:bCs/>
      <w:sz w:val="28"/>
      <w:szCs w:val="28"/>
      <w:lang w:eastAsia="ru-RU"/>
    </w:rPr>
  </w:style>
  <w:style w:type="paragraph" w:customStyle="1" w:styleId="s1">
    <w:name w:val="s_1"/>
    <w:basedOn w:val="a"/>
    <w:rsid w:val="00B60AFD"/>
    <w:pPr>
      <w:spacing w:before="100" w:beforeAutospacing="1" w:after="100" w:afterAutospacing="1"/>
    </w:pPr>
  </w:style>
  <w:style w:type="character" w:customStyle="1" w:styleId="s10">
    <w:name w:val="s_10"/>
    <w:basedOn w:val="a0"/>
    <w:rsid w:val="00B60AF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00912" TargetMode="External"/><Relationship Id="rId18" Type="http://schemas.openxmlformats.org/officeDocument/2006/relationships/hyperlink" Target="https://normativ.kontur.ru/document?moduleid=1&amp;documentid=353927" TargetMode="External"/><Relationship Id="rId26" Type="http://schemas.openxmlformats.org/officeDocument/2006/relationships/hyperlink" Target="https://normativ.kontur.ru/document?moduleid=1&amp;documentid=371375" TargetMode="External"/><Relationship Id="rId39" Type="http://schemas.openxmlformats.org/officeDocument/2006/relationships/hyperlink" Target="https://normativ.kontur.ru/document?moduleid=1&amp;documentid=400912" TargetMode="External"/><Relationship Id="rId21" Type="http://schemas.openxmlformats.org/officeDocument/2006/relationships/hyperlink" Target="https://normativ.kontur.ru/document?moduleid=1&amp;documentid=349744" TargetMode="External"/><Relationship Id="rId34" Type="http://schemas.openxmlformats.org/officeDocument/2006/relationships/hyperlink" Target="https://normativ.kontur.ru/document?moduleid=1&amp;documentid=371375" TargetMode="External"/><Relationship Id="rId42" Type="http://schemas.openxmlformats.org/officeDocument/2006/relationships/hyperlink" Target="https://normativ.kontur.ru/document?moduleid=1&amp;documentid=354166" TargetMode="External"/><Relationship Id="rId47" Type="http://schemas.openxmlformats.org/officeDocument/2006/relationships/hyperlink" Target="https://normativ.kontur.ru/document?moduleid=1&amp;documentid=349651" TargetMode="External"/><Relationship Id="rId50" Type="http://schemas.openxmlformats.org/officeDocument/2006/relationships/hyperlink" Target="https://normativ.kontur.ru/document?moduleid=1&amp;documentid=366424" TargetMode="External"/><Relationship Id="rId55" Type="http://schemas.openxmlformats.org/officeDocument/2006/relationships/hyperlink" Target="https://normativ.kontur.ru/document?moduleid=1&amp;documentid=371375"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normativ.kontur.ru/document?moduleid=1&amp;documentid=353293" TargetMode="External"/><Relationship Id="rId29" Type="http://schemas.openxmlformats.org/officeDocument/2006/relationships/hyperlink" Target="https://normativ.kontur.ru/document?moduleid=1&amp;documentid=3713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normativ.kontur.ru/document?moduleid=1&amp;documentid=349851" TargetMode="External"/><Relationship Id="rId32" Type="http://schemas.openxmlformats.org/officeDocument/2006/relationships/hyperlink" Target="https://normativ.kontur.ru/document?moduleid=1&amp;documentid=371375" TargetMode="External"/><Relationship Id="rId37" Type="http://schemas.openxmlformats.org/officeDocument/2006/relationships/hyperlink" Target="https://normativ.kontur.ru/document?moduleid=1&amp;documentid=400912" TargetMode="External"/><Relationship Id="rId40" Type="http://schemas.openxmlformats.org/officeDocument/2006/relationships/hyperlink" Target="https://normativ.kontur.ru/document?moduleid=1&amp;documentid=388826" TargetMode="External"/><Relationship Id="rId45" Type="http://schemas.openxmlformats.org/officeDocument/2006/relationships/hyperlink" Target="https://normativ.kontur.ru/document?moduleid=1&amp;documentid=353072" TargetMode="External"/><Relationship Id="rId53" Type="http://schemas.openxmlformats.org/officeDocument/2006/relationships/hyperlink" Target="https://normativ.kontur.ru/document?moduleid=1&amp;documentid=371375" TargetMode="External"/><Relationship Id="rId58" Type="http://schemas.openxmlformats.org/officeDocument/2006/relationships/hyperlink" Target="https://normativ.kontur.ru/document?moduleid=1&amp;documentid=371375"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normativ.kontur.ru/document?moduleid=1&amp;documentid=388826" TargetMode="External"/><Relationship Id="rId23" Type="http://schemas.openxmlformats.org/officeDocument/2006/relationships/hyperlink" Target="https://normativ.kontur.ru/document?moduleid=1&amp;documentid=360256" TargetMode="External"/><Relationship Id="rId28" Type="http://schemas.openxmlformats.org/officeDocument/2006/relationships/hyperlink" Target="https://normativ.kontur.ru/document?moduleid=1&amp;documentid=371375" TargetMode="External"/><Relationship Id="rId36" Type="http://schemas.openxmlformats.org/officeDocument/2006/relationships/hyperlink" Target="https://normativ.kontur.ru/document?moduleid=1&amp;documentid=371375" TargetMode="External"/><Relationship Id="rId49" Type="http://schemas.openxmlformats.org/officeDocument/2006/relationships/hyperlink" Target="https://normativ.kontur.ru/document?moduleid=1&amp;documentid=349851" TargetMode="External"/><Relationship Id="rId57" Type="http://schemas.openxmlformats.org/officeDocument/2006/relationships/hyperlink" Target="https://normativ.kontur.ru/document?moduleid=1&amp;documentid=371375" TargetMode="External"/><Relationship Id="rId61" Type="http://schemas.openxmlformats.org/officeDocument/2006/relationships/hyperlink" Target="https://normativ.kontur.ru/document?moduleid=1&amp;documentid=371375" TargetMode="External"/><Relationship Id="rId10" Type="http://schemas.openxmlformats.org/officeDocument/2006/relationships/hyperlink" Target="https://internet.garant.ru/" TargetMode="External"/><Relationship Id="rId19" Type="http://schemas.openxmlformats.org/officeDocument/2006/relationships/hyperlink" Target="https://normativ.kontur.ru/document?moduleid=1&amp;documentid=353072" TargetMode="External"/><Relationship Id="rId31" Type="http://schemas.openxmlformats.org/officeDocument/2006/relationships/hyperlink" Target="https://normativ.kontur.ru/document?moduleid=1&amp;documentid=371375" TargetMode="External"/><Relationship Id="rId44" Type="http://schemas.openxmlformats.org/officeDocument/2006/relationships/hyperlink" Target="https://normativ.kontur.ru/document?moduleid=1&amp;documentid=353072" TargetMode="External"/><Relationship Id="rId52" Type="http://schemas.openxmlformats.org/officeDocument/2006/relationships/hyperlink" Target="https://normativ.kontur.ru/document?moduleid=1&amp;documentid=371375" TargetMode="External"/><Relationship Id="rId60" Type="http://schemas.openxmlformats.org/officeDocument/2006/relationships/hyperlink" Target="https://normativ.kontur.ru/document?moduleid=1&amp;documentid=371375"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normativ.kontur.ru/document?moduleid=1&amp;documentid=400912" TargetMode="External"/><Relationship Id="rId22" Type="http://schemas.openxmlformats.org/officeDocument/2006/relationships/hyperlink" Target="https://normativ.kontur.ru/document?moduleid=1&amp;documentid=349651" TargetMode="External"/><Relationship Id="rId27" Type="http://schemas.openxmlformats.org/officeDocument/2006/relationships/hyperlink" Target="https://normativ.kontur.ru/document?moduleid=1&amp;documentid=371375" TargetMode="External"/><Relationship Id="rId30" Type="http://schemas.openxmlformats.org/officeDocument/2006/relationships/hyperlink" Target="https://normativ.kontur.ru/document?moduleid=1&amp;documentid=371375" TargetMode="External"/><Relationship Id="rId35" Type="http://schemas.openxmlformats.org/officeDocument/2006/relationships/hyperlink" Target="https://normativ.kontur.ru/document?moduleid=1&amp;documentid=371375" TargetMode="External"/><Relationship Id="rId43" Type="http://schemas.openxmlformats.org/officeDocument/2006/relationships/hyperlink" Target="https://normativ.kontur.ru/document?moduleid=1&amp;documentid=353927" TargetMode="External"/><Relationship Id="rId48" Type="http://schemas.openxmlformats.org/officeDocument/2006/relationships/hyperlink" Target="https://normativ.kontur.ru/document?moduleid=1&amp;documentid=360256" TargetMode="External"/><Relationship Id="rId56" Type="http://schemas.openxmlformats.org/officeDocument/2006/relationships/hyperlink" Target="https://normativ.kontur.ru/document?moduleid=1&amp;documentid=371375"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s://normativ.kontur.ru/document?moduleid=1&amp;documentid=371375" TargetMode="External"/><Relationship Id="rId3" Type="http://schemas.openxmlformats.org/officeDocument/2006/relationships/settings" Target="settings.xml"/><Relationship Id="rId12" Type="http://schemas.openxmlformats.org/officeDocument/2006/relationships/hyperlink" Target="https://normativ.kontur.ru/document?moduleid=1&amp;documentid=400912" TargetMode="External"/><Relationship Id="rId17" Type="http://schemas.openxmlformats.org/officeDocument/2006/relationships/hyperlink" Target="https://normativ.kontur.ru/document?moduleid=1&amp;documentid=354166" TargetMode="External"/><Relationship Id="rId25" Type="http://schemas.openxmlformats.org/officeDocument/2006/relationships/hyperlink" Target="https://normativ.kontur.ru/document?moduleid=1&amp;documentid=366424" TargetMode="External"/><Relationship Id="rId33" Type="http://schemas.openxmlformats.org/officeDocument/2006/relationships/hyperlink" Target="https://normativ.kontur.ru/document?moduleid=1&amp;documentid=371375" TargetMode="External"/><Relationship Id="rId38" Type="http://schemas.openxmlformats.org/officeDocument/2006/relationships/hyperlink" Target="https://normativ.kontur.ru/document?moduleid=1&amp;documentid=400912" TargetMode="External"/><Relationship Id="rId46" Type="http://schemas.openxmlformats.org/officeDocument/2006/relationships/hyperlink" Target="https://normativ.kontur.ru/document?moduleid=1&amp;documentid=349744" TargetMode="External"/><Relationship Id="rId59" Type="http://schemas.openxmlformats.org/officeDocument/2006/relationships/hyperlink" Target="https://normativ.kontur.ru/document?moduleid=1&amp;documentid=371375" TargetMode="External"/><Relationship Id="rId67" Type="http://schemas.openxmlformats.org/officeDocument/2006/relationships/footer" Target="footer3.xml"/><Relationship Id="rId20" Type="http://schemas.openxmlformats.org/officeDocument/2006/relationships/hyperlink" Target="https://normativ.kontur.ru/document?moduleid=1&amp;documentid=353072" TargetMode="External"/><Relationship Id="rId41" Type="http://schemas.openxmlformats.org/officeDocument/2006/relationships/hyperlink" Target="https://normativ.kontur.ru/document?moduleid=1&amp;documentid=353293" TargetMode="External"/><Relationship Id="rId54" Type="http://schemas.openxmlformats.org/officeDocument/2006/relationships/hyperlink" Target="https://normativ.kontur.ru/document?moduleid=1&amp;documentid=371375" TargetMode="External"/><Relationship Id="rId6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4590</Words>
  <Characters>26164</Characters>
  <Application>Microsoft Office Word</Application>
  <DocSecurity>0</DocSecurity>
  <Lines>218</Lines>
  <Paragraphs>61</Paragraphs>
  <ScaleCrop>false</ScaleCrop>
  <Company>administration</Company>
  <LinksUpToDate>false</LinksUpToDate>
  <CharactersWithSpaces>30693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Kaskat</cp:lastModifiedBy>
  <cp:revision>4</cp:revision>
  <dcterms:created xsi:type="dcterms:W3CDTF">2024-05-03T05:46:00Z</dcterms:created>
  <dcterms:modified xsi:type="dcterms:W3CDTF">2024-05-03T05:48:00Z</dcterms:modified>
</cp:coreProperties>
</file>