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03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6B6C">
        <w:rPr>
          <w:rFonts w:ascii="Times New Roman" w:hAnsi="Times New Roman" w:cs="Times New Roman"/>
          <w:sz w:val="28"/>
          <w:szCs w:val="28"/>
        </w:rPr>
        <w:t xml:space="preserve"> </w:t>
      </w:r>
      <w:r w:rsidR="00641307">
        <w:rPr>
          <w:rFonts w:ascii="Times New Roman" w:hAnsi="Times New Roman" w:cs="Times New Roman"/>
          <w:sz w:val="28"/>
          <w:szCs w:val="28"/>
        </w:rPr>
        <w:t xml:space="preserve">  </w:t>
      </w:r>
      <w:r w:rsidRPr="00587CDB">
        <w:rPr>
          <w:rFonts w:ascii="Times New Roman" w:hAnsi="Times New Roman" w:cs="Times New Roman"/>
          <w:sz w:val="28"/>
          <w:szCs w:val="28"/>
        </w:rPr>
        <w:t xml:space="preserve">  Объявление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7CDB">
        <w:rPr>
          <w:rFonts w:ascii="Times New Roman" w:hAnsi="Times New Roman" w:cs="Times New Roman"/>
          <w:sz w:val="28"/>
          <w:szCs w:val="28"/>
        </w:rPr>
        <w:t xml:space="preserve"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сельского поселения от 27 мая 2021 года № 24 (далее – Порядок), Администрация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7CDB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Дата и время начала подачи (приема) предложений (заявок) участников отбора 1 июля 2024 года с 8.30 часов по местному времени.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Дата и время окончания (приема) предложений (заявок) участников               отбора – 10 июля  2024 года 17.15 часов по местному времени.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2 . Наименование, место нахождения, почтовый адрес и адрес электронной почты Администрации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сельского поселения, ул. Центральная д.7, а.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, индекс 646018, </w:t>
      </w:r>
      <w:proofErr w:type="spellStart"/>
      <w:proofErr w:type="gramStart"/>
      <w:r w:rsidRPr="00587CD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>: kask@ismr.omskportal.ru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объем молока, сданного гражданами, ведущими ЛПХ, на промышленную переработку за период с 1 декабря 2023 года по 10 июля  2024 года.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4. 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отбора: http://kask.isilk.omskportal.ru/omsu/isilk-3-52-215-1/poseleniya/kaskatskoe 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lastRenderedPageBreak/>
        <w:t>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пункте 2 настоящего Порядка.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7CDB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 xml:space="preserve">  сельского поселения от 27 мая 2021 года № 24, 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паспорта;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свидетельства о постановке на учет в налоговом органе (ИНН);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CDB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87CDB">
        <w:rPr>
          <w:rFonts w:ascii="Times New Roman" w:hAnsi="Times New Roman" w:cs="Times New Roman"/>
          <w:sz w:val="28"/>
          <w:szCs w:val="28"/>
        </w:rPr>
        <w:t>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договора с Заготовителем;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справка о численности поголовья коров и наличия земельного участка для ведения ЛПХ;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87CDB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 xml:space="preserve"> ветеринарного освидетельствования коров;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- Ветеринарное разрешение на отправку молока;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Субсидии предоставляются гражданам, ведущим личное подсобное хозяйство, в целях возмещения части затрат по производству молока, произведенных с 1 декабря 2023 года по 10 июля  2024 года.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7.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587CDB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участниками отбора информации;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8. Правила рассмотрения предложений (заявок) участников отбора.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предложений (заявок) проводится Администрацией  в срок не позднее 5 рабочих дней </w:t>
      </w:r>
      <w:proofErr w:type="gramStart"/>
      <w:r w:rsidRPr="00587CD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Администрация 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Администрация 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 xml:space="preserve">Дата начала предоставления разъяснений: 01.07.2024 года. 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 10.07.2024 года.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10. Сроки, в течение которых победитель (победители) отбора должен подписать соглашение.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lastRenderedPageBreak/>
        <w:t xml:space="preserve">11. Условия признания победителя (победителей) отбора </w:t>
      </w:r>
      <w:proofErr w:type="gramStart"/>
      <w:r w:rsidRPr="00587CD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587CDB"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12. 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587CDB" w:rsidRPr="00587CDB" w:rsidRDefault="00587CDB" w:rsidP="00587CDB">
      <w:pPr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Дата размещения результатов отбора не позднее 18 июля  2024 года.</w:t>
      </w:r>
    </w:p>
    <w:p w:rsidR="00711ACA" w:rsidRPr="00587CDB" w:rsidRDefault="00711ACA">
      <w:pPr>
        <w:rPr>
          <w:rFonts w:ascii="Times New Roman" w:hAnsi="Times New Roman" w:cs="Times New Roman"/>
          <w:sz w:val="28"/>
          <w:szCs w:val="28"/>
        </w:rPr>
      </w:pPr>
    </w:p>
    <w:sectPr w:rsidR="00711ACA" w:rsidRPr="00587CDB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DB"/>
    <w:rsid w:val="00324EA1"/>
    <w:rsid w:val="00587CDB"/>
    <w:rsid w:val="00641307"/>
    <w:rsid w:val="00711ACA"/>
    <w:rsid w:val="00806B6C"/>
    <w:rsid w:val="00C00313"/>
    <w:rsid w:val="00D7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2024-07-17T09:01:00Z</dcterms:created>
  <dcterms:modified xsi:type="dcterms:W3CDTF">2024-07-18T09:42:00Z</dcterms:modified>
</cp:coreProperties>
</file>