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B2" w:rsidRPr="00486355" w:rsidRDefault="00D77BB2" w:rsidP="00D77BB2">
      <w:pPr>
        <w:jc w:val="center"/>
        <w:rPr>
          <w:sz w:val="28"/>
          <w:szCs w:val="28"/>
        </w:rPr>
      </w:pPr>
      <w:r w:rsidRPr="00486355">
        <w:rPr>
          <w:sz w:val="28"/>
          <w:szCs w:val="28"/>
        </w:rPr>
        <w:t>АДМИНИСТРАЦИЯ КАСКАТСКОГО СЕЛЬСКОГО ПОСЕЛЕНИЯ</w:t>
      </w:r>
    </w:p>
    <w:p w:rsidR="00D77BB2" w:rsidRPr="00486355" w:rsidRDefault="00D77BB2" w:rsidP="00D77BB2">
      <w:pPr>
        <w:jc w:val="center"/>
        <w:rPr>
          <w:sz w:val="28"/>
          <w:szCs w:val="28"/>
        </w:rPr>
      </w:pPr>
      <w:r w:rsidRPr="00486355">
        <w:rPr>
          <w:sz w:val="28"/>
          <w:szCs w:val="28"/>
        </w:rPr>
        <w:t>ИСИЛЬКУЛЬСКОГО МУНИЦИПАЛЬНОГО РАЙОНА ОМСКОЙ ОБЛАСТИ</w:t>
      </w:r>
    </w:p>
    <w:p w:rsidR="00D77BB2" w:rsidRPr="00486355" w:rsidRDefault="00D77BB2" w:rsidP="00D77BB2">
      <w:pPr>
        <w:jc w:val="center"/>
        <w:rPr>
          <w:sz w:val="28"/>
          <w:szCs w:val="28"/>
        </w:rPr>
      </w:pPr>
    </w:p>
    <w:p w:rsidR="00D77BB2" w:rsidRPr="00486355" w:rsidRDefault="00D77BB2" w:rsidP="00D77BB2">
      <w:pPr>
        <w:jc w:val="center"/>
        <w:rPr>
          <w:sz w:val="28"/>
          <w:szCs w:val="28"/>
        </w:rPr>
      </w:pPr>
      <w:r w:rsidRPr="00486355">
        <w:rPr>
          <w:sz w:val="28"/>
          <w:szCs w:val="28"/>
        </w:rPr>
        <w:t>ПОСТАНОВЛЕНИЕ</w:t>
      </w:r>
      <w:r w:rsidR="00037ED9">
        <w:rPr>
          <w:sz w:val="28"/>
          <w:szCs w:val="28"/>
        </w:rPr>
        <w:t xml:space="preserve"> </w:t>
      </w:r>
      <w:r w:rsidRPr="00486355">
        <w:rPr>
          <w:sz w:val="28"/>
          <w:szCs w:val="28"/>
        </w:rPr>
        <w:t xml:space="preserve"> </w:t>
      </w:r>
    </w:p>
    <w:p w:rsidR="00D77BB2" w:rsidRPr="00486355" w:rsidRDefault="00D77BB2" w:rsidP="00D77BB2">
      <w:pPr>
        <w:tabs>
          <w:tab w:val="left" w:pos="8745"/>
        </w:tabs>
        <w:rPr>
          <w:sz w:val="28"/>
          <w:szCs w:val="28"/>
        </w:rPr>
      </w:pPr>
      <w:r w:rsidRPr="00486355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77BB2" w:rsidRDefault="00037ED9" w:rsidP="00D77BB2">
      <w:pPr>
        <w:rPr>
          <w:sz w:val="28"/>
          <w:szCs w:val="28"/>
        </w:rPr>
      </w:pPr>
      <w:r>
        <w:rPr>
          <w:sz w:val="28"/>
          <w:szCs w:val="28"/>
        </w:rPr>
        <w:t xml:space="preserve">      от   26</w:t>
      </w:r>
      <w:r w:rsidR="00D77BB2" w:rsidRPr="00486355">
        <w:rPr>
          <w:sz w:val="28"/>
          <w:szCs w:val="28"/>
        </w:rPr>
        <w:t>.0</w:t>
      </w:r>
      <w:r w:rsidR="00D77BB2">
        <w:rPr>
          <w:sz w:val="28"/>
          <w:szCs w:val="28"/>
        </w:rPr>
        <w:t>3</w:t>
      </w:r>
      <w:r w:rsidR="00D77BB2" w:rsidRPr="00486355">
        <w:rPr>
          <w:sz w:val="28"/>
          <w:szCs w:val="28"/>
        </w:rPr>
        <w:t>.202</w:t>
      </w:r>
      <w:r w:rsidR="00D77BB2">
        <w:rPr>
          <w:sz w:val="28"/>
          <w:szCs w:val="28"/>
        </w:rPr>
        <w:t>4</w:t>
      </w:r>
      <w:r w:rsidR="00D77BB2" w:rsidRPr="00486355">
        <w:rPr>
          <w:sz w:val="28"/>
          <w:szCs w:val="28"/>
        </w:rPr>
        <w:t xml:space="preserve"> года                                </w:t>
      </w:r>
      <w:r w:rsidR="00D77BB2">
        <w:rPr>
          <w:sz w:val="28"/>
          <w:szCs w:val="28"/>
        </w:rPr>
        <w:t xml:space="preserve">                        </w:t>
      </w:r>
      <w:r w:rsidR="00D77BB2" w:rsidRPr="00486355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8</w:t>
      </w:r>
    </w:p>
    <w:p w:rsidR="00D77BB2" w:rsidRDefault="00D77BB2" w:rsidP="00D77BB2">
      <w:pPr>
        <w:rPr>
          <w:sz w:val="28"/>
          <w:szCs w:val="28"/>
        </w:rPr>
      </w:pPr>
    </w:p>
    <w:p w:rsidR="00D77BB2" w:rsidRDefault="00D77BB2" w:rsidP="00D77BB2">
      <w:pPr>
        <w:pStyle w:val="ConsPlusTitle"/>
        <w:jc w:val="center"/>
        <w:rPr>
          <w:b w:val="0"/>
        </w:rPr>
      </w:pPr>
      <w:r w:rsidRPr="00AB0305">
        <w:rPr>
          <w:b w:val="0"/>
        </w:rPr>
        <w:t xml:space="preserve">Об утверждении </w:t>
      </w:r>
      <w:r>
        <w:rPr>
          <w:b w:val="0"/>
        </w:rPr>
        <w:t>Плана мероприятий («дорожной карты») по</w:t>
      </w:r>
    </w:p>
    <w:p w:rsidR="00D77BB2" w:rsidRPr="00877677" w:rsidRDefault="00D77BB2" w:rsidP="00D77BB2">
      <w:pPr>
        <w:pStyle w:val="ConsPlusTitle"/>
        <w:jc w:val="center"/>
        <w:rPr>
          <w:b w:val="0"/>
        </w:rPr>
      </w:pPr>
      <w:r>
        <w:rPr>
          <w:b w:val="0"/>
        </w:rPr>
        <w:t xml:space="preserve">взысканию дебиторской задолженности по платежам в бюджет, пеням и штрафам по ним, являющимся источниками формирования доходов  бюджета Каскатского сельского поселения Исилькульского муниципального </w:t>
      </w:r>
      <w:r w:rsidRPr="00877677">
        <w:rPr>
          <w:b w:val="0"/>
        </w:rPr>
        <w:t>района Омской области, за исключением  платежей, предусмотренных законодательством о налогах и сборах, об обязательном социальном страховании от несчастных случаевна производстве и рофессиональных заболеваний</w:t>
      </w:r>
    </w:p>
    <w:p w:rsidR="00D77BB2" w:rsidRPr="00486355" w:rsidRDefault="00D77BB2" w:rsidP="00D77B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77BB2" w:rsidRPr="006C3C0E" w:rsidRDefault="00D77BB2" w:rsidP="00D77BB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</w:t>
      </w:r>
      <w:r w:rsidRPr="006C3C0E">
        <w:rPr>
          <w:b w:val="0"/>
        </w:rPr>
        <w:t xml:space="preserve">В соответствии со статьей 160.1 Бюджетного кодекса Российской Федерации, в целях обеспечения исполнения бюджета </w:t>
      </w:r>
      <w:r>
        <w:rPr>
          <w:b w:val="0"/>
        </w:rPr>
        <w:t xml:space="preserve">Каскатского сельского поселения </w:t>
      </w:r>
      <w:r w:rsidRPr="006C3C0E">
        <w:rPr>
          <w:b w:val="0"/>
        </w:rPr>
        <w:t>Исилькульского муниципального района Омской области и повышения эффективности реализации полномочий главных администраторов  (администрат</w:t>
      </w:r>
      <w:r>
        <w:rPr>
          <w:b w:val="0"/>
        </w:rPr>
        <w:t>оров) доходов</w:t>
      </w:r>
      <w:r w:rsidRPr="006C3C0E">
        <w:rPr>
          <w:b w:val="0"/>
        </w:rPr>
        <w:t xml:space="preserve"> бюджета </w:t>
      </w:r>
      <w:r>
        <w:rPr>
          <w:b w:val="0"/>
        </w:rPr>
        <w:t>Каскатского сельского поселения</w:t>
      </w:r>
      <w:r w:rsidRPr="006C3C0E">
        <w:rPr>
          <w:b w:val="0"/>
        </w:rPr>
        <w:t xml:space="preserve"> Исилькульского муниципалного района Омской области, направленных на взыскание дебиторской задолженности по платежам в бюджет, пеням и штрафам по ним, являющимся источни</w:t>
      </w:r>
      <w:r>
        <w:rPr>
          <w:b w:val="0"/>
        </w:rPr>
        <w:t xml:space="preserve">ками формирования доходов </w:t>
      </w:r>
      <w:r w:rsidRPr="006C3C0E">
        <w:rPr>
          <w:b w:val="0"/>
        </w:rPr>
        <w:t xml:space="preserve"> бюджета </w:t>
      </w:r>
      <w:r>
        <w:rPr>
          <w:b w:val="0"/>
        </w:rPr>
        <w:t>Каскатского сельского поселения</w:t>
      </w:r>
      <w:r w:rsidRPr="006C3C0E">
        <w:rPr>
          <w:b w:val="0"/>
        </w:rPr>
        <w:t xml:space="preserve"> Исилькульского муниципального района Омской области, руководствуясь Уставом Каскатского сельского поселения Исилькульского муниципального района Омской области, Администрация Каскатского сельского поселения постановляет:</w:t>
      </w:r>
      <w:r w:rsidRPr="006C3C0E">
        <w:rPr>
          <w:b w:val="0"/>
          <w:sz w:val="36"/>
          <w:szCs w:val="36"/>
        </w:rPr>
        <w:t xml:space="preserve">         </w:t>
      </w:r>
      <w:r w:rsidRPr="006C3C0E">
        <w:rPr>
          <w:b w:val="0"/>
        </w:rPr>
        <w:tab/>
      </w:r>
      <w:r>
        <w:t xml:space="preserve">  </w:t>
      </w:r>
    </w:p>
    <w:p w:rsidR="00D77BB2" w:rsidRDefault="00D77BB2" w:rsidP="00D77BB2">
      <w:pPr>
        <w:pStyle w:val="ConsPlusNormal"/>
        <w:spacing w:before="220"/>
        <w:ind w:firstLine="540"/>
        <w:jc w:val="both"/>
      </w:pPr>
      <w:r w:rsidRPr="00E140BB">
        <w:t xml:space="preserve">1. Утвердить </w:t>
      </w:r>
      <w:r>
        <w:t>План мероприятий («дорожную карту») по взысканию дебиторской задолженности по платежам в бюджет, пеням и штрафам по ним, являющимся источниками формирования доходов  бюджета</w:t>
      </w:r>
      <w:r w:rsidRPr="006C3C0E">
        <w:rPr>
          <w:b/>
        </w:rPr>
        <w:t xml:space="preserve"> </w:t>
      </w:r>
      <w:r w:rsidRPr="006C3C0E">
        <w:t>Каскатского сельского поселения</w:t>
      </w:r>
      <w:r>
        <w:t xml:space="preserve"> Исилькульского муниципального района Омской области,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заболеваний, согласно приложению.</w:t>
      </w:r>
    </w:p>
    <w:p w:rsidR="00D77BB2" w:rsidRDefault="00D77BB2" w:rsidP="00D77BB2">
      <w:pPr>
        <w:pStyle w:val="ConsPlusNormal"/>
        <w:spacing w:before="220"/>
        <w:ind w:firstLine="540"/>
        <w:jc w:val="both"/>
      </w:pPr>
      <w:r>
        <w:t>2</w:t>
      </w:r>
      <w:r w:rsidRPr="00E140BB">
        <w:t xml:space="preserve">. Контроль за исполнением настоящего постановления возложить на </w:t>
      </w:r>
      <w:r>
        <w:t>главного  специалиста Администрации Каскатского сельского поселения</w:t>
      </w:r>
      <w:r w:rsidRPr="006C3C0E">
        <w:t xml:space="preserve"> </w:t>
      </w:r>
      <w:r>
        <w:t>Исилькульского муниципального района Омской области Искакову Аягоз Еслямбековну</w:t>
      </w:r>
    </w:p>
    <w:p w:rsidR="00D77BB2" w:rsidRDefault="00D77BB2" w:rsidP="00D77BB2">
      <w:pPr>
        <w:pStyle w:val="ConsPlusNormal"/>
        <w:spacing w:before="220"/>
        <w:ind w:firstLine="540"/>
        <w:jc w:val="both"/>
      </w:pPr>
      <w:r>
        <w:t>3. Опубликовать (обнародовать) настоящее постановление.</w:t>
      </w:r>
    </w:p>
    <w:p w:rsidR="00D77BB2" w:rsidRPr="00486355" w:rsidRDefault="00D77BB2" w:rsidP="00D77B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7BB2" w:rsidRPr="00486355" w:rsidRDefault="00D77BB2" w:rsidP="00D77BB2">
      <w:pPr>
        <w:jc w:val="both"/>
        <w:rPr>
          <w:sz w:val="28"/>
          <w:szCs w:val="28"/>
        </w:rPr>
      </w:pPr>
      <w:r w:rsidRPr="00486355">
        <w:rPr>
          <w:sz w:val="28"/>
          <w:szCs w:val="28"/>
        </w:rPr>
        <w:t xml:space="preserve">            Глава </w:t>
      </w:r>
      <w:r>
        <w:rPr>
          <w:sz w:val="28"/>
          <w:szCs w:val="28"/>
        </w:rPr>
        <w:t>сельского поселения                                        Х.Х.Гинаятулин</w:t>
      </w:r>
    </w:p>
    <w:p w:rsidR="00D77BB2" w:rsidRDefault="00D77BB2" w:rsidP="00D7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pStyle w:val="BlockQuotation"/>
        <w:widowControl/>
        <w:tabs>
          <w:tab w:val="left" w:pos="-426"/>
        </w:tabs>
        <w:ind w:left="5245" w:right="-58" w:firstLine="0"/>
      </w:pPr>
      <w:r>
        <w:t>Приложение</w:t>
      </w:r>
    </w:p>
    <w:p w:rsidR="00D77BB2" w:rsidRDefault="00D77BB2" w:rsidP="00D77BB2">
      <w:pPr>
        <w:pStyle w:val="BlockQuotation"/>
        <w:widowControl/>
        <w:tabs>
          <w:tab w:val="left" w:pos="-426"/>
        </w:tabs>
        <w:ind w:left="5245" w:right="-1" w:firstLine="0"/>
      </w:pPr>
      <w:r>
        <w:t>к постановлению Администрации Каскатского сельского поселения</w:t>
      </w:r>
    </w:p>
    <w:p w:rsidR="00D77BB2" w:rsidRDefault="00D77BB2" w:rsidP="00D77BB2">
      <w:pPr>
        <w:pStyle w:val="BlockQuotation"/>
        <w:widowControl/>
        <w:tabs>
          <w:tab w:val="left" w:pos="-426"/>
        </w:tabs>
        <w:ind w:left="5245" w:right="-1" w:firstLine="0"/>
      </w:pPr>
      <w:r>
        <w:t>от ______________ № _________</w:t>
      </w:r>
    </w:p>
    <w:p w:rsidR="00D77BB2" w:rsidRDefault="00D77BB2" w:rsidP="00D77BB2">
      <w:pPr>
        <w:jc w:val="center"/>
        <w:rPr>
          <w:sz w:val="28"/>
          <w:szCs w:val="28"/>
        </w:rPr>
      </w:pPr>
    </w:p>
    <w:p w:rsidR="00D77BB2" w:rsidRDefault="00D77BB2" w:rsidP="00D77BB2">
      <w:pPr>
        <w:jc w:val="center"/>
        <w:rPr>
          <w:sz w:val="28"/>
          <w:szCs w:val="28"/>
        </w:rPr>
      </w:pPr>
    </w:p>
    <w:p w:rsidR="00D77BB2" w:rsidRDefault="00D77BB2" w:rsidP="00D77BB2">
      <w:pPr>
        <w:jc w:val="center"/>
        <w:rPr>
          <w:sz w:val="28"/>
          <w:szCs w:val="28"/>
        </w:rPr>
      </w:pPr>
    </w:p>
    <w:p w:rsidR="00D77BB2" w:rsidRDefault="00D77BB2" w:rsidP="00D77BB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(«дорожная карта»)</w:t>
      </w:r>
    </w:p>
    <w:p w:rsidR="00D77BB2" w:rsidRDefault="00D77BB2" w:rsidP="00D77BB2">
      <w:pPr>
        <w:pStyle w:val="ConsPlusTitle"/>
      </w:pPr>
      <w:r>
        <w:rPr>
          <w:b w:val="0"/>
        </w:rPr>
        <w:t>по взысканию дебиторской задолженности по платежам в бюджет, пеням и штрафам по ним, являющимся источниками формирования доходов  бюджета</w:t>
      </w:r>
      <w:r w:rsidRPr="004C0298">
        <w:t xml:space="preserve"> </w:t>
      </w:r>
      <w:r w:rsidRPr="004C0298">
        <w:rPr>
          <w:b w:val="0"/>
        </w:rPr>
        <w:t>Каскатского сельского поселения Исилькульского муниципального района</w:t>
      </w:r>
      <w:r>
        <w:rPr>
          <w:b w:val="0"/>
        </w:rPr>
        <w:t xml:space="preserve"> </w:t>
      </w:r>
      <w:r w:rsidRPr="004C0298">
        <w:rPr>
          <w:b w:val="0"/>
        </w:rPr>
        <w:t>Омской области, за исключением  платежей, предусмотренных законодательством о налогах и сборах, об обязательном  социальном страховании от несчастных случаев</w:t>
      </w:r>
      <w:r>
        <w:rPr>
          <w:b w:val="0"/>
        </w:rPr>
        <w:t xml:space="preserve"> </w:t>
      </w:r>
      <w:r w:rsidRPr="004C0298">
        <w:rPr>
          <w:b w:val="0"/>
        </w:rPr>
        <w:t>на производстве и профессиональных заболеваний</w:t>
      </w:r>
    </w:p>
    <w:p w:rsidR="00D77BB2" w:rsidRPr="000F7DC4" w:rsidRDefault="00D77BB2" w:rsidP="00D77BB2">
      <w:pPr>
        <w:jc w:val="center"/>
        <w:rPr>
          <w:sz w:val="28"/>
          <w:szCs w:val="28"/>
        </w:rPr>
      </w:pPr>
    </w:p>
    <w:p w:rsidR="00D77BB2" w:rsidRPr="000F7DC4" w:rsidRDefault="00D77BB2" w:rsidP="00D77BB2">
      <w:pPr>
        <w:jc w:val="center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244"/>
        <w:gridCol w:w="2948"/>
        <w:gridCol w:w="2494"/>
      </w:tblGrid>
      <w:tr w:rsidR="00D77BB2" w:rsidTr="00CF54ED">
        <w:trPr>
          <w:trHeight w:val="6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7BB2" w:rsidRDefault="00D77BB2" w:rsidP="00CF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7BB2" w:rsidRDefault="00D77BB2" w:rsidP="00CF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</w:tr>
    </w:tbl>
    <w:p w:rsidR="00D77BB2" w:rsidRDefault="00D77BB2" w:rsidP="00D77BB2">
      <w:pPr>
        <w:tabs>
          <w:tab w:val="left" w:pos="1650"/>
        </w:tabs>
        <w:rPr>
          <w:sz w:val="2"/>
          <w:szCs w:val="2"/>
        </w:rPr>
      </w:pPr>
      <w: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240"/>
        <w:gridCol w:w="2945"/>
        <w:gridCol w:w="2504"/>
      </w:tblGrid>
      <w:tr w:rsidR="00D77BB2" w:rsidTr="00CF54ED">
        <w:trPr>
          <w:trHeight w:val="353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2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3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4</w:t>
            </w:r>
          </w:p>
        </w:tc>
      </w:tr>
      <w:tr w:rsidR="00D77BB2" w:rsidTr="00CF54ED">
        <w:trPr>
          <w:trHeight w:val="600"/>
        </w:trPr>
        <w:tc>
          <w:tcPr>
            <w:tcW w:w="9356" w:type="dxa"/>
            <w:gridSpan w:val="4"/>
            <w:hideMark/>
          </w:tcPr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I. Анализ состояния дебиторской задолженности по платежам в бюджет, пеням и штрафам по ним, являющимся источниками формирования</w:t>
            </w:r>
          </w:p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доходов </w:t>
            </w:r>
            <w:r w:rsidRPr="000F7DC4">
              <w:rPr>
                <w:sz w:val="28"/>
                <w:szCs w:val="28"/>
              </w:rPr>
              <w:t xml:space="preserve">бюджета </w:t>
            </w:r>
            <w:r w:rsidRPr="004C0298">
              <w:rPr>
                <w:sz w:val="28"/>
                <w:szCs w:val="28"/>
              </w:rPr>
              <w:t>Каскатского сельского поселения</w:t>
            </w:r>
            <w:r w:rsidRPr="006C3C0E">
              <w:t xml:space="preserve"> </w:t>
            </w:r>
            <w:r w:rsidRPr="000F7DC4">
              <w:rPr>
                <w:sz w:val="28"/>
                <w:szCs w:val="28"/>
              </w:rPr>
              <w:t xml:space="preserve">Исилькульского муниципального района Омской области </w:t>
            </w:r>
          </w:p>
        </w:tc>
      </w:tr>
      <w:tr w:rsidR="00D77BB2" w:rsidTr="00CF54ED">
        <w:trPr>
          <w:trHeight w:val="1275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Проведение мониторинга состояния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Pr="004C0298">
              <w:rPr>
                <w:sz w:val="28"/>
                <w:szCs w:val="28"/>
              </w:rPr>
              <w:t>Каскатского сельского поселения</w:t>
            </w:r>
            <w:r w:rsidRPr="006C3C0E">
              <w:t xml:space="preserve"> </w:t>
            </w:r>
            <w:r w:rsidRPr="000F7DC4">
              <w:rPr>
                <w:sz w:val="28"/>
                <w:szCs w:val="28"/>
              </w:rPr>
              <w:t xml:space="preserve">Исилькульского муниципального района Омской области, и принятия мер по ее </w:t>
            </w:r>
            <w:r w:rsidRPr="000F7DC4">
              <w:rPr>
                <w:sz w:val="28"/>
                <w:szCs w:val="28"/>
              </w:rPr>
              <w:lastRenderedPageBreak/>
              <w:t>урегулированию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ежеквартально</w:t>
            </w:r>
          </w:p>
        </w:tc>
      </w:tr>
      <w:tr w:rsidR="00D77BB2" w:rsidTr="00CF54ED">
        <w:trPr>
          <w:trHeight w:val="2685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Проведение инвентаризации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Pr="004C0298">
              <w:rPr>
                <w:sz w:val="28"/>
                <w:szCs w:val="28"/>
              </w:rPr>
              <w:t>Каскатского сельского поселения</w:t>
            </w:r>
            <w:r w:rsidRPr="006C3C0E">
              <w:t xml:space="preserve"> </w:t>
            </w:r>
            <w:r w:rsidRPr="000F7DC4">
              <w:rPr>
                <w:sz w:val="28"/>
                <w:szCs w:val="28"/>
              </w:rPr>
              <w:t>Исилькульского муниципального района Омской области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по мере необходимости, не реже 1 раза в год</w:t>
            </w:r>
          </w:p>
        </w:tc>
      </w:tr>
      <w:tr w:rsidR="00D77BB2" w:rsidTr="00CF54ED">
        <w:trPr>
          <w:trHeight w:val="990"/>
        </w:trPr>
        <w:tc>
          <w:tcPr>
            <w:tcW w:w="9356" w:type="dxa"/>
            <w:gridSpan w:val="4"/>
            <w:hideMark/>
          </w:tcPr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II. Мероприятия, направленные на недопущение образования</w:t>
            </w:r>
          </w:p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просроченной дебиторской задолженности по платежам в бюджет, </w:t>
            </w:r>
          </w:p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пеням и штрафам по ним, являющимся источниками формирования</w:t>
            </w:r>
          </w:p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доходов</w:t>
            </w:r>
            <w:r w:rsidRPr="000F7DC4">
              <w:rPr>
                <w:sz w:val="28"/>
                <w:szCs w:val="28"/>
              </w:rPr>
              <w:t xml:space="preserve"> бюджета </w:t>
            </w:r>
            <w:r w:rsidRPr="004C0298">
              <w:rPr>
                <w:sz w:val="28"/>
                <w:szCs w:val="28"/>
              </w:rPr>
              <w:t>Каскатского сельского поселения</w:t>
            </w:r>
            <w:r w:rsidRPr="006C3C0E">
              <w:t xml:space="preserve"> </w:t>
            </w:r>
            <w:r w:rsidRPr="000F7DC4">
              <w:rPr>
                <w:sz w:val="28"/>
                <w:szCs w:val="28"/>
              </w:rPr>
              <w:t>Исилькульского муниципального района Омской области, выявление факторов, влияющих на образование просроченной дебиторской</w:t>
            </w:r>
          </w:p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задолженности по платежам в бюджет</w:t>
            </w:r>
          </w:p>
        </w:tc>
      </w:tr>
      <w:tr w:rsidR="00D77BB2" w:rsidTr="00CF54ED">
        <w:trPr>
          <w:trHeight w:val="1327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Осуществление контроля за правильностью исчисления, полнотой и своевременностью осуществления платежей в бюджет, являющихся источниками формирования доходов бюджета</w:t>
            </w:r>
            <w:r w:rsidRPr="004C0298">
              <w:rPr>
                <w:sz w:val="28"/>
                <w:szCs w:val="28"/>
              </w:rPr>
              <w:t xml:space="preserve"> Каскатского сельского поселения</w:t>
            </w:r>
            <w:r w:rsidRPr="000F7DC4">
              <w:rPr>
                <w:sz w:val="28"/>
                <w:szCs w:val="28"/>
              </w:rPr>
              <w:t xml:space="preserve"> Исилькульского муниципального района Омской области 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постоянно</w:t>
            </w:r>
          </w:p>
        </w:tc>
      </w:tr>
      <w:tr w:rsidR="00D77BB2" w:rsidTr="00CF54ED">
        <w:trPr>
          <w:trHeight w:val="1800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Проведение инвентаризации расчетов по платежам в бюджет, пеням и штрафам по ним, являющимся </w:t>
            </w:r>
            <w:r w:rsidRPr="000F7DC4">
              <w:rPr>
                <w:sz w:val="28"/>
                <w:szCs w:val="28"/>
              </w:rPr>
              <w:lastRenderedPageBreak/>
              <w:t>ис</w:t>
            </w:r>
            <w:r>
              <w:rPr>
                <w:sz w:val="28"/>
                <w:szCs w:val="28"/>
              </w:rPr>
              <w:t xml:space="preserve">точниками формирования доходов </w:t>
            </w:r>
            <w:r w:rsidRPr="000F7DC4">
              <w:rPr>
                <w:sz w:val="28"/>
                <w:szCs w:val="28"/>
              </w:rPr>
              <w:t xml:space="preserve">бюджета </w:t>
            </w:r>
            <w:r w:rsidRPr="004C0298">
              <w:rPr>
                <w:sz w:val="28"/>
                <w:szCs w:val="28"/>
              </w:rPr>
              <w:t>Каскатского сельского поселения</w:t>
            </w:r>
            <w:r w:rsidRPr="006C3C0E">
              <w:t xml:space="preserve"> </w:t>
            </w:r>
            <w:r w:rsidRPr="000F7DC4">
              <w:rPr>
                <w:sz w:val="28"/>
                <w:szCs w:val="28"/>
              </w:rPr>
              <w:t xml:space="preserve">Исилькульского муниципального района Омской области, с должниками  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постоянно</w:t>
            </w:r>
          </w:p>
        </w:tc>
      </w:tr>
      <w:tr w:rsidR="00D77BB2" w:rsidTr="00CF54ED">
        <w:trPr>
          <w:trHeight w:val="709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постоянно</w:t>
            </w:r>
          </w:p>
        </w:tc>
      </w:tr>
      <w:tr w:rsidR="00D77BB2" w:rsidTr="00CF54ED">
        <w:trPr>
          <w:trHeight w:val="885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 </w:t>
            </w:r>
          </w:p>
        </w:tc>
        <w:tc>
          <w:tcPr>
            <w:tcW w:w="8689" w:type="dxa"/>
            <w:gridSpan w:val="3"/>
            <w:hideMark/>
          </w:tcPr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III. Мероприятия, направленные на взыскание просроченной</w:t>
            </w:r>
          </w:p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дебиторской задолженности по платежам в бюджет, пеням и штрафам по ним, являющимся источниками формирования доходов</w:t>
            </w:r>
          </w:p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 бюджета</w:t>
            </w:r>
            <w:r w:rsidRPr="004C0298">
              <w:rPr>
                <w:sz w:val="28"/>
                <w:szCs w:val="28"/>
              </w:rPr>
              <w:t xml:space="preserve"> Каскатского сельского поселения</w:t>
            </w:r>
            <w:r w:rsidRPr="000F7DC4">
              <w:rPr>
                <w:sz w:val="28"/>
                <w:szCs w:val="28"/>
              </w:rPr>
              <w:t xml:space="preserve"> Исилькульского муниципального района Омской области</w:t>
            </w:r>
          </w:p>
        </w:tc>
      </w:tr>
      <w:tr w:rsidR="00D77BB2" w:rsidTr="00CF54ED">
        <w:trPr>
          <w:trHeight w:val="1980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Проведение мероприятий по урегулированию дебиторской задолженности по платежам в бюджет, пеням и штрафам по ним, являющимся источниками формиров</w:t>
            </w:r>
            <w:r>
              <w:rPr>
                <w:sz w:val="28"/>
                <w:szCs w:val="28"/>
              </w:rPr>
              <w:t xml:space="preserve">ания доходов </w:t>
            </w:r>
            <w:r w:rsidRPr="000F7DC4">
              <w:rPr>
                <w:sz w:val="28"/>
                <w:szCs w:val="28"/>
              </w:rPr>
              <w:t>бюджета</w:t>
            </w:r>
            <w:r w:rsidRPr="004C0298">
              <w:rPr>
                <w:sz w:val="28"/>
                <w:szCs w:val="28"/>
              </w:rPr>
              <w:t xml:space="preserve"> Каскатского сельского поселения</w:t>
            </w:r>
            <w:r w:rsidRPr="000F7DC4">
              <w:rPr>
                <w:sz w:val="28"/>
                <w:szCs w:val="28"/>
              </w:rPr>
              <w:t xml:space="preserve"> Исилькульского муниципального района Омской области, в досудебном порядке (со дня истечения срока уплаты соответствующих платежей в бюджет, пеней и штрафов по ним, до начала работы по их принудительному взысканию)</w:t>
            </w:r>
          </w:p>
        </w:tc>
        <w:tc>
          <w:tcPr>
            <w:tcW w:w="2945" w:type="dxa"/>
            <w:hideMark/>
          </w:tcPr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в установленные законодательством или договором (контрактом) сроки</w:t>
            </w:r>
          </w:p>
        </w:tc>
      </w:tr>
      <w:tr w:rsidR="00D77BB2" w:rsidTr="00CF54ED">
        <w:trPr>
          <w:trHeight w:val="864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Организация работы по принудительному взысканию </w:t>
            </w:r>
            <w:r w:rsidRPr="000F7DC4">
              <w:rPr>
                <w:sz w:val="28"/>
                <w:szCs w:val="28"/>
              </w:rPr>
              <w:lastRenderedPageBreak/>
              <w:t xml:space="preserve">просроченной дебиторской задолженности по платежам в бюджет, пеням и штрафам по ним, являющимся источниками формирования доходов бюджета </w:t>
            </w:r>
            <w:r w:rsidRPr="004C0298">
              <w:rPr>
                <w:sz w:val="28"/>
                <w:szCs w:val="28"/>
              </w:rPr>
              <w:t>Каскатского сельского поселения</w:t>
            </w:r>
            <w:r w:rsidRPr="006C3C0E">
              <w:t xml:space="preserve"> </w:t>
            </w:r>
            <w:r w:rsidRPr="000F7DC4">
              <w:rPr>
                <w:sz w:val="28"/>
                <w:szCs w:val="28"/>
              </w:rPr>
              <w:t>Исилькульского муниципального района Омской области</w:t>
            </w:r>
          </w:p>
        </w:tc>
        <w:tc>
          <w:tcPr>
            <w:tcW w:w="2945" w:type="dxa"/>
            <w:hideMark/>
          </w:tcPr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в установленные законодательством сроки</w:t>
            </w:r>
          </w:p>
        </w:tc>
      </w:tr>
      <w:tr w:rsidR="00D77BB2" w:rsidTr="00CF54ED">
        <w:trPr>
          <w:trHeight w:val="1043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Проведение мероприятий по наблюдению за платежеспособностью должника</w:t>
            </w:r>
          </w:p>
        </w:tc>
        <w:tc>
          <w:tcPr>
            <w:tcW w:w="2945" w:type="dxa"/>
            <w:hideMark/>
          </w:tcPr>
          <w:p w:rsidR="00D77BB2" w:rsidRDefault="00D77BB2" w:rsidP="00CF54ED">
            <w:r w:rsidRPr="00FB215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постоянно</w:t>
            </w:r>
          </w:p>
        </w:tc>
      </w:tr>
      <w:tr w:rsidR="00D77BB2" w:rsidTr="00CF54ED">
        <w:trPr>
          <w:trHeight w:val="1043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9.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Принятие решений о признании дебиторской задолженности по платежам в бюджет, являющимся источниками формирования доходов бюджета </w:t>
            </w:r>
            <w:r w:rsidRPr="004C0298">
              <w:rPr>
                <w:sz w:val="28"/>
                <w:szCs w:val="28"/>
              </w:rPr>
              <w:t>Каскатского сельского поселения</w:t>
            </w:r>
            <w:r w:rsidRPr="006C3C0E">
              <w:t xml:space="preserve"> </w:t>
            </w:r>
            <w:r w:rsidRPr="000F7DC4">
              <w:rPr>
                <w:sz w:val="28"/>
                <w:szCs w:val="28"/>
              </w:rPr>
              <w:t>Исилькульского муниципального района Омской области, сомнительной, безнадежной к взысканию и ее списанию</w:t>
            </w:r>
          </w:p>
        </w:tc>
        <w:tc>
          <w:tcPr>
            <w:tcW w:w="2945" w:type="dxa"/>
            <w:hideMark/>
          </w:tcPr>
          <w:p w:rsidR="00D77BB2" w:rsidRDefault="00D77BB2" w:rsidP="00CF54ED">
            <w:r w:rsidRPr="00FB215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при возникновении оснований в сроки, установленные нормативными правовыми актами </w:t>
            </w:r>
          </w:p>
        </w:tc>
      </w:tr>
    </w:tbl>
    <w:p w:rsidR="00D77BB2" w:rsidRDefault="00D77BB2" w:rsidP="00D77BB2">
      <w:pPr>
        <w:rPr>
          <w:sz w:val="20"/>
          <w:szCs w:val="20"/>
        </w:rPr>
      </w:pPr>
    </w:p>
    <w:p w:rsidR="00D77BB2" w:rsidRDefault="00D77BB2" w:rsidP="00D77BB2">
      <w:pPr>
        <w:pStyle w:val="BlockQuotation"/>
        <w:widowControl/>
        <w:tabs>
          <w:tab w:val="left" w:pos="-426"/>
        </w:tabs>
        <w:ind w:left="0" w:right="-58" w:firstLine="0"/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Pr="00A01125" w:rsidRDefault="00D77BB2" w:rsidP="00D77BB2">
      <w:pPr>
        <w:rPr>
          <w:color w:val="C00000"/>
          <w:sz w:val="28"/>
          <w:szCs w:val="28"/>
        </w:rPr>
      </w:pPr>
    </w:p>
    <w:p w:rsidR="00CA624A" w:rsidRDefault="00CA624A"/>
    <w:sectPr w:rsidR="00CA624A" w:rsidSect="0090234D">
      <w:headerReference w:type="even" r:id="rId6"/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07E" w:rsidRDefault="000A607E" w:rsidP="006253C7">
      <w:r>
        <w:separator/>
      </w:r>
    </w:p>
  </w:endnote>
  <w:endnote w:type="continuationSeparator" w:id="0">
    <w:p w:rsidR="000A607E" w:rsidRDefault="000A607E" w:rsidP="0062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07E" w:rsidRDefault="000A607E" w:rsidP="006253C7">
      <w:r>
        <w:separator/>
      </w:r>
    </w:p>
  </w:footnote>
  <w:footnote w:type="continuationSeparator" w:id="0">
    <w:p w:rsidR="000A607E" w:rsidRDefault="000A607E" w:rsidP="00625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EB" w:rsidRDefault="00D70F5A" w:rsidP="004863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B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BB2">
      <w:rPr>
        <w:rStyle w:val="a5"/>
        <w:noProof/>
      </w:rPr>
      <w:t>1</w:t>
    </w:r>
    <w:r>
      <w:rPr>
        <w:rStyle w:val="a5"/>
      </w:rPr>
      <w:fldChar w:fldCharType="end"/>
    </w:r>
  </w:p>
  <w:p w:rsidR="004049EB" w:rsidRDefault="000A607E" w:rsidP="0048635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EB" w:rsidRDefault="000A607E" w:rsidP="00486355">
    <w:pPr>
      <w:pStyle w:val="a3"/>
      <w:framePr w:wrap="around" w:vAnchor="text" w:hAnchor="margin" w:xAlign="right" w:y="1"/>
      <w:rPr>
        <w:rStyle w:val="a5"/>
      </w:rPr>
    </w:pPr>
  </w:p>
  <w:p w:rsidR="004049EB" w:rsidRDefault="000A607E" w:rsidP="0048635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BB2"/>
    <w:rsid w:val="00037ED9"/>
    <w:rsid w:val="000A607E"/>
    <w:rsid w:val="00195BC9"/>
    <w:rsid w:val="00357E2F"/>
    <w:rsid w:val="006253C7"/>
    <w:rsid w:val="00CA624A"/>
    <w:rsid w:val="00D70F5A"/>
    <w:rsid w:val="00D7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7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77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lockQuotation">
    <w:name w:val="Block Quotation"/>
    <w:basedOn w:val="a"/>
    <w:rsid w:val="00D77BB2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styleId="a3">
    <w:name w:val="header"/>
    <w:basedOn w:val="a"/>
    <w:link w:val="a4"/>
    <w:unhideWhenUsed/>
    <w:rsid w:val="00D77BB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77BB2"/>
    <w:rPr>
      <w:rFonts w:ascii="Calibri" w:eastAsia="Calibri" w:hAnsi="Calibri" w:cs="Times New Roman"/>
    </w:rPr>
  </w:style>
  <w:style w:type="character" w:styleId="a5">
    <w:name w:val="page number"/>
    <w:basedOn w:val="a0"/>
    <w:rsid w:val="00D77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5595</Characters>
  <Application>Microsoft Office Word</Application>
  <DocSecurity>0</DocSecurity>
  <Lines>46</Lines>
  <Paragraphs>13</Paragraphs>
  <ScaleCrop>false</ScaleCrop>
  <Company>administration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6</cp:revision>
  <dcterms:created xsi:type="dcterms:W3CDTF">2024-03-26T09:55:00Z</dcterms:created>
  <dcterms:modified xsi:type="dcterms:W3CDTF">2024-03-27T05:03:00Z</dcterms:modified>
</cp:coreProperties>
</file>